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仿宋"/>
          <w:color w:val="FF0000"/>
          <w:w w:val="80"/>
          <w:sz w:val="84"/>
          <w:szCs w:val="84"/>
        </w:rPr>
      </w:pPr>
      <w:r>
        <w:rPr>
          <w:rFonts w:hint="eastAsia" w:ascii="宋体" w:hAnsi="宋体" w:cs="仿宋"/>
          <w:color w:val="FF0000"/>
          <w:w w:val="80"/>
          <w:sz w:val="84"/>
          <w:szCs w:val="84"/>
        </w:rPr>
        <w:t>南 昌 大 学 部 门 函 件</w:t>
      </w:r>
    </w:p>
    <w:p>
      <w:pPr>
        <w:tabs>
          <w:tab w:val="left" w:pos="180"/>
        </w:tabs>
        <w:jc w:val="center"/>
        <w:rPr>
          <w:sz w:val="28"/>
          <w:szCs w:val="28"/>
          <w:u w:val="thick"/>
        </w:rPr>
      </w:pPr>
      <w:r>
        <w:rPr>
          <w:sz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331470</wp:posOffset>
                </wp:positionV>
                <wp:extent cx="5615940" cy="8890"/>
                <wp:effectExtent l="9525" t="9525" r="13335" b="1016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V="1">
                          <a:off x="0" y="0"/>
                          <a:ext cx="5615940" cy="8890"/>
                        </a:xfrm>
                        <a:prstGeom prst="line">
                          <a:avLst/>
                        </a:prstGeom>
                        <a:noFill/>
                        <a:ln w="9525">
                          <a:solidFill>
                            <a:srgbClr val="FF0000"/>
                          </a:solidFill>
                          <a:round/>
                        </a:ln>
                      </wps:spPr>
                      <wps:bodyPr/>
                    </wps:wsp>
                  </a:graphicData>
                </a:graphic>
              </wp:anchor>
            </w:drawing>
          </mc:Choice>
          <mc:Fallback>
            <w:pict>
              <v:line id="直线 4" o:spid="_x0000_s1026" o:spt="20" style="position:absolute;left:0pt;flip:y;margin-left:0pt;margin-top:26.1pt;height:0.7pt;width:442.2pt;z-index:251661312;mso-width-relative:page;mso-height-relative:page;" filled="f" stroked="t" coordsize="21600,21600" o:gfxdata="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q8UgdcAAAAG&#10;AQAADwAAAAAAAAABACAAAAAiAAAAZHJzL2Rvd25yZXYueG1sUEsBAhQAFAAAAAgAh07iQCeJCtPk&#10;AQAArgMAAA4AAAAAAAAAAQAgAAAAJgEAAGRycy9lMm9Eb2MueG1sUEsFBgAAAAAGAAYAWQEAAHwF&#10;AAAAAA==&#10;">
                <v:fill on="f" focussize="0,0"/>
                <v:stroke color="#FF0000" joinstyle="round"/>
                <v:imagedata o:title=""/>
                <o:lock v:ext="edit" aspectratio="f"/>
              </v:line>
            </w:pict>
          </mc:Fallback>
        </mc:AlternateContent>
      </w:r>
      <w:r>
        <w:rPr>
          <w:color w:val="FF0000"/>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266700</wp:posOffset>
                </wp:positionV>
                <wp:extent cx="5615940" cy="10160"/>
                <wp:effectExtent l="19050" t="20955" r="13335" b="16510"/>
                <wp:wrapNone/>
                <wp:docPr id="2" name="直线 3"/>
                <wp:cNvGraphicFramePr/>
                <a:graphic xmlns:a="http://schemas.openxmlformats.org/drawingml/2006/main">
                  <a:graphicData uri="http://schemas.microsoft.com/office/word/2010/wordprocessingShape">
                    <wps:wsp>
                      <wps:cNvCnPr>
                        <a:cxnSpLocks noChangeShapeType="1"/>
                      </wps:cNvCnPr>
                      <wps:spPr bwMode="auto">
                        <a:xfrm flipV="1">
                          <a:off x="0" y="0"/>
                          <a:ext cx="5615940" cy="10160"/>
                        </a:xfrm>
                        <a:prstGeom prst="line">
                          <a:avLst/>
                        </a:prstGeom>
                        <a:noFill/>
                        <a:ln w="25400">
                          <a:solidFill>
                            <a:srgbClr val="FF0000"/>
                          </a:solidFill>
                          <a:round/>
                        </a:ln>
                      </wps:spPr>
                      <wps:bodyPr/>
                    </wps:wsp>
                  </a:graphicData>
                </a:graphic>
              </wp:anchor>
            </w:drawing>
          </mc:Choice>
          <mc:Fallback>
            <w:pict>
              <v:line id="直线 3" o:spid="_x0000_s1026" o:spt="20" style="position:absolute;left:0pt;flip:y;margin-left:0pt;margin-top:21pt;height:0.8pt;width:442.2pt;z-index:251660288;mso-width-relative:page;mso-height-relative:page;" filled="f" stroked="t" coordsize="21600,21600" o:gfxdata="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VvWL0wAAAAYBAAAP&#10;AAAAAAAAAAEAIAAAACIAAABkcnMvZG93bnJldi54bWxQSwECFAAUAAAACACHTuJA/RoT9eQBAACw&#10;AwAADgAAAAAAAAABACAAAAAiAQAAZHJzL2Uyb0RvYy54bWxQSwUGAAAAAAYABgBZAQAAeAUAAAAA&#10;">
                <v:fill on="f" focussize="0,0"/>
                <v:stroke weight="2pt" color="#FF0000" joinstyle="round"/>
                <v:imagedata o:title=""/>
                <o:lock v:ext="edit" aspectratio="f"/>
              </v:line>
            </w:pict>
          </mc:Fallback>
        </mc:AlternateContent>
      </w:r>
    </w:p>
    <w:p>
      <w:pPr>
        <w:wordWrap w:val="0"/>
        <w:jc w:val="right"/>
        <w:rPr>
          <w:rFonts w:ascii="仿宋_GB2312" w:hAnsi="宋体" w:eastAsia="仿宋_GB2312"/>
          <w:sz w:val="32"/>
          <w:szCs w:val="32"/>
        </w:rPr>
      </w:pPr>
      <w:r>
        <w:rPr>
          <w:rFonts w:hint="eastAsia" w:ascii="仿宋_GB2312" w:hAnsi="宋体" w:eastAsia="仿宋_GB2312"/>
          <w:sz w:val="32"/>
          <w:szCs w:val="32"/>
        </w:rPr>
        <w:t>南大教函〔20</w:t>
      </w:r>
      <w:r>
        <w:rPr>
          <w:rFonts w:ascii="仿宋_GB2312" w:hAnsi="宋体" w:eastAsia="仿宋_GB2312"/>
          <w:sz w:val="32"/>
          <w:szCs w:val="32"/>
        </w:rPr>
        <w:t>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151</w:t>
      </w:r>
      <w:r>
        <w:rPr>
          <w:rFonts w:hint="eastAsia" w:ascii="仿宋_GB2312" w:hAnsi="宋体" w:eastAsia="仿宋_GB2312"/>
          <w:sz w:val="32"/>
          <w:szCs w:val="32"/>
        </w:rPr>
        <w:t>号</w:t>
      </w:r>
    </w:p>
    <w:p>
      <w:pPr>
        <w:jc w:val="center"/>
        <w:rPr>
          <w:rFonts w:hint="eastAsia" w:ascii="宋体" w:hAnsi="宋体" w:cs="宋体"/>
          <w:b/>
          <w:bCs/>
          <w:kern w:val="0"/>
          <w:sz w:val="36"/>
          <w:szCs w:val="36"/>
        </w:rPr>
      </w:pPr>
      <w:r>
        <w:rPr>
          <w:rFonts w:hint="eastAsia" w:ascii="宋体" w:hAnsi="宋体" w:cs="宋体"/>
          <w:b/>
          <w:bCs/>
          <w:kern w:val="0"/>
          <w:sz w:val="36"/>
          <w:szCs w:val="36"/>
        </w:rPr>
        <w:t>关于编制《南昌大学</w:t>
      </w:r>
      <w:r>
        <w:rPr>
          <w:rFonts w:hint="eastAsia" w:ascii="宋体" w:hAnsi="宋体" w:cs="宋体"/>
          <w:b/>
          <w:bCs/>
          <w:kern w:val="0"/>
          <w:sz w:val="36"/>
          <w:szCs w:val="36"/>
          <w:lang w:eastAsia="zh-CN"/>
        </w:rPr>
        <w:t>202</w:t>
      </w:r>
      <w:r>
        <w:rPr>
          <w:rFonts w:hint="eastAsia" w:ascii="宋体" w:hAnsi="宋体" w:cs="宋体"/>
          <w:b/>
          <w:bCs/>
          <w:kern w:val="0"/>
          <w:sz w:val="36"/>
          <w:szCs w:val="36"/>
          <w:lang w:val="en-US" w:eastAsia="zh-CN"/>
        </w:rPr>
        <w:t>2</w:t>
      </w:r>
      <w:r>
        <w:rPr>
          <w:rFonts w:hint="eastAsia" w:ascii="宋体" w:hAnsi="宋体" w:cs="宋体"/>
          <w:b/>
          <w:bCs/>
          <w:kern w:val="0"/>
          <w:sz w:val="36"/>
          <w:szCs w:val="36"/>
          <w:lang w:eastAsia="zh-CN"/>
        </w:rPr>
        <w:t>-202</w:t>
      </w:r>
      <w:r>
        <w:rPr>
          <w:rFonts w:hint="eastAsia" w:ascii="宋体" w:hAnsi="宋体" w:cs="宋体"/>
          <w:b/>
          <w:bCs/>
          <w:kern w:val="0"/>
          <w:sz w:val="36"/>
          <w:szCs w:val="36"/>
          <w:lang w:val="en-US" w:eastAsia="zh-CN"/>
        </w:rPr>
        <w:t>3</w:t>
      </w:r>
      <w:r>
        <w:rPr>
          <w:rFonts w:ascii="宋体" w:hAnsi="宋体" w:cs="宋体"/>
          <w:b/>
          <w:bCs/>
          <w:kern w:val="0"/>
          <w:sz w:val="36"/>
          <w:szCs w:val="36"/>
        </w:rPr>
        <w:t>学年</w:t>
      </w:r>
      <w:r>
        <w:rPr>
          <w:rFonts w:hint="eastAsia" w:ascii="宋体" w:hAnsi="宋体" w:cs="宋体"/>
          <w:b/>
          <w:bCs/>
          <w:kern w:val="0"/>
          <w:sz w:val="36"/>
          <w:szCs w:val="36"/>
        </w:rPr>
        <w:t>本科</w:t>
      </w:r>
    </w:p>
    <w:p>
      <w:pPr>
        <w:jc w:val="center"/>
        <w:rPr>
          <w:rFonts w:ascii="宋体" w:hAnsi="宋体" w:cs="宋体"/>
          <w:b/>
          <w:bCs/>
          <w:kern w:val="0"/>
          <w:sz w:val="36"/>
          <w:szCs w:val="36"/>
        </w:rPr>
      </w:pPr>
      <w:r>
        <w:rPr>
          <w:rFonts w:hint="eastAsia" w:ascii="宋体" w:hAnsi="宋体" w:cs="宋体"/>
          <w:b/>
          <w:bCs/>
          <w:kern w:val="0"/>
          <w:sz w:val="36"/>
          <w:szCs w:val="36"/>
        </w:rPr>
        <w:t>教学质量报告》的通知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r>
        <w:rPr>
          <w:rFonts w:hint="eastAsia" w:ascii="仿宋" w:hAnsi="仿宋" w:eastAsia="仿宋"/>
          <w:sz w:val="32"/>
          <w:szCs w:val="32"/>
        </w:rPr>
        <w:t>校内有关单位：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val="en-US" w:eastAsia="zh-CN"/>
        </w:rPr>
        <w:t>教育部办公厅</w:t>
      </w:r>
      <w:r>
        <w:rPr>
          <w:rFonts w:hint="eastAsia" w:ascii="仿宋" w:hAnsi="仿宋" w:eastAsia="仿宋"/>
          <w:sz w:val="32"/>
          <w:szCs w:val="32"/>
        </w:rPr>
        <w:t>《教育部办公厅关于组织编制发布高等学校2022-2023学年本科教学质量报告的通知》（教督厅函〔2023〕10号）</w:t>
      </w:r>
      <w:r>
        <w:rPr>
          <w:rFonts w:hint="eastAsia" w:ascii="仿宋" w:hAnsi="仿宋" w:eastAsia="仿宋"/>
          <w:sz w:val="32"/>
          <w:szCs w:val="32"/>
          <w:lang w:eastAsia="zh-CN"/>
        </w:rPr>
        <w:t>、</w:t>
      </w:r>
      <w:r>
        <w:rPr>
          <w:rFonts w:hint="eastAsia" w:ascii="仿宋" w:hAnsi="仿宋" w:eastAsia="仿宋"/>
          <w:sz w:val="32"/>
          <w:szCs w:val="32"/>
          <w:lang w:val="en-US" w:eastAsia="zh-CN"/>
        </w:rPr>
        <w:t>江西省教育厅《关于组织编制发布全省高等学校2022-2023学年本科教学质量报告的通知》（赣教办函〔2023〕53号）</w:t>
      </w:r>
      <w:r>
        <w:rPr>
          <w:rFonts w:hint="eastAsia" w:ascii="仿宋" w:hAnsi="仿宋" w:eastAsia="仿宋"/>
          <w:sz w:val="32"/>
          <w:szCs w:val="32"/>
        </w:rPr>
        <w:t>，学校决定启动《南昌大学</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学年本科教学质量报告》编制工作。现将有关事</w:t>
      </w:r>
      <w:r>
        <w:rPr>
          <w:rFonts w:hint="eastAsia" w:ascii="仿宋" w:hAnsi="仿宋" w:eastAsia="仿宋"/>
          <w:sz w:val="32"/>
          <w:szCs w:val="32"/>
          <w:lang w:val="en-US" w:eastAsia="zh-CN"/>
        </w:rPr>
        <w:t>宜</w:t>
      </w:r>
      <w:r>
        <w:rPr>
          <w:rFonts w:hint="eastAsia" w:ascii="仿宋" w:hAnsi="仿宋" w:eastAsia="仿宋"/>
          <w:sz w:val="32"/>
          <w:szCs w:val="32"/>
        </w:rPr>
        <w:t>通知如下：</w:t>
      </w:r>
    </w:p>
    <w:p>
      <w:pPr>
        <w:spacing w:line="560" w:lineRule="exact"/>
        <w:ind w:firstLine="627" w:firstLineChars="196"/>
        <w:rPr>
          <w:rFonts w:ascii="仿宋" w:hAnsi="仿宋" w:eastAsia="仿宋"/>
          <w:b/>
          <w:sz w:val="32"/>
          <w:szCs w:val="32"/>
        </w:rPr>
      </w:pPr>
      <w:r>
        <w:rPr>
          <w:rFonts w:hint="eastAsia" w:ascii="仿宋" w:hAnsi="仿宋" w:eastAsia="仿宋"/>
          <w:b/>
          <w:sz w:val="32"/>
          <w:szCs w:val="32"/>
        </w:rPr>
        <w:t>一、目的意义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编制发布本科教学质量报告，是教育部《高等学校信息公开事项清单》中的一项重要内容，是加强高等教育督导评估、实施高等教育教学质量常态监测和建立完善高等教育质量保障体系的重要手段，也是高等学校向社会展示办学特色、宣传办学理念和教学成果的重要途径。要高度重视，通过编制发布本科教学质量报告，全面总结本科教育教学情况，强化人才培养中心地位，健全立德树人落实机制，积极回应社会关切、主动接受社会监督，不断提高教育教学质量。</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二、报告编写单位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党政办公室</w:t>
      </w:r>
      <w:r>
        <w:rPr>
          <w:rFonts w:hint="eastAsia" w:ascii="仿宋" w:hAnsi="仿宋" w:eastAsia="仿宋"/>
          <w:sz w:val="32"/>
          <w:szCs w:val="32"/>
        </w:rPr>
        <w:t>、团委、</w:t>
      </w:r>
      <w:r>
        <w:rPr>
          <w:rFonts w:hint="eastAsia" w:ascii="仿宋" w:hAnsi="仿宋" w:eastAsia="仿宋"/>
          <w:sz w:val="32"/>
          <w:szCs w:val="32"/>
          <w:highlight w:val="none"/>
          <w:lang w:val="en-US" w:eastAsia="zh-CN"/>
        </w:rPr>
        <w:t>校友工作办公室</w:t>
      </w:r>
      <w:r>
        <w:rPr>
          <w:rFonts w:hint="eastAsia" w:ascii="仿宋" w:hAnsi="仿宋" w:eastAsia="仿宋"/>
          <w:sz w:val="32"/>
          <w:szCs w:val="32"/>
          <w:lang w:val="en-US" w:eastAsia="zh-CN"/>
        </w:rPr>
        <w:t>、</w:t>
      </w:r>
      <w:r>
        <w:rPr>
          <w:rFonts w:hint="eastAsia" w:ascii="仿宋" w:hAnsi="仿宋" w:eastAsia="仿宋"/>
          <w:sz w:val="32"/>
          <w:szCs w:val="32"/>
        </w:rPr>
        <w:t>信息化办公室、发展规划与学科建设处、人事处、教务处、教学督导与评估办公室、创新创业学院、学生工作处、招生与就业工作处、教育技术与</w:t>
      </w:r>
      <w:r>
        <w:rPr>
          <w:rFonts w:hint="eastAsia" w:ascii="仿宋" w:hAnsi="仿宋" w:eastAsia="仿宋"/>
          <w:sz w:val="32"/>
          <w:szCs w:val="32"/>
          <w:lang w:val="en-US" w:eastAsia="zh-CN"/>
        </w:rPr>
        <w:t>教学</w:t>
      </w:r>
      <w:r>
        <w:rPr>
          <w:rFonts w:hint="eastAsia" w:ascii="仿宋" w:hAnsi="仿宋" w:eastAsia="仿宋"/>
          <w:sz w:val="32"/>
          <w:szCs w:val="32"/>
        </w:rPr>
        <w:t>资源中心、</w:t>
      </w:r>
      <w:r>
        <w:rPr>
          <w:rFonts w:hint="eastAsia" w:ascii="仿宋" w:hAnsi="仿宋" w:eastAsia="仿宋"/>
          <w:sz w:val="32"/>
          <w:szCs w:val="32"/>
          <w:lang w:val="en-US" w:eastAsia="zh-CN"/>
        </w:rPr>
        <w:t>跨境</w:t>
      </w:r>
      <w:r>
        <w:rPr>
          <w:rFonts w:hint="eastAsia" w:ascii="仿宋" w:hAnsi="仿宋" w:eastAsia="仿宋"/>
          <w:sz w:val="32"/>
          <w:szCs w:val="32"/>
        </w:rPr>
        <w:t>教育中心（国际交流学院）、计划财务处、资产管理处</w:t>
      </w:r>
      <w:r>
        <w:rPr>
          <w:rFonts w:hint="eastAsia" w:ascii="仿宋" w:hAnsi="仿宋" w:eastAsia="仿宋"/>
          <w:sz w:val="32"/>
          <w:szCs w:val="32"/>
          <w:lang w:eastAsia="zh-CN"/>
        </w:rPr>
        <w:t>、实验室与设备管理处</w:t>
      </w:r>
      <w:r>
        <w:rPr>
          <w:rFonts w:hint="eastAsia" w:ascii="仿宋" w:hAnsi="仿宋" w:eastAsia="仿宋"/>
          <w:sz w:val="32"/>
          <w:szCs w:val="32"/>
          <w:highlight w:val="none"/>
          <w:lang w:eastAsia="zh-CN"/>
        </w:rPr>
        <w:t>、</w:t>
      </w:r>
      <w:r>
        <w:rPr>
          <w:rFonts w:hint="eastAsia" w:ascii="仿宋" w:hAnsi="仿宋" w:eastAsia="仿宋"/>
          <w:sz w:val="32"/>
          <w:szCs w:val="32"/>
        </w:rPr>
        <w:t>学生宿舍与教室管理中心、图书馆、体育运动委员会等。</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工作</w:t>
      </w:r>
      <w:r>
        <w:rPr>
          <w:rFonts w:hint="eastAsia" w:ascii="仿宋" w:hAnsi="仿宋" w:eastAsia="仿宋"/>
          <w:b/>
          <w:sz w:val="32"/>
          <w:szCs w:val="32"/>
          <w:lang w:val="en-US" w:eastAsia="zh-CN"/>
        </w:rPr>
        <w:t>内容及</w:t>
      </w:r>
      <w:r>
        <w:rPr>
          <w:rFonts w:hint="eastAsia" w:ascii="仿宋" w:hAnsi="仿宋" w:eastAsia="仿宋"/>
          <w:b/>
          <w:sz w:val="32"/>
          <w:szCs w:val="32"/>
        </w:rPr>
        <w:t>要求</w:t>
      </w:r>
    </w:p>
    <w:p>
      <w:pPr>
        <w:spacing w:line="560" w:lineRule="exact"/>
        <w:ind w:firstLine="640" w:firstLineChars="200"/>
        <w:rPr>
          <w:rFonts w:ascii="仿宋" w:hAnsi="仿宋" w:eastAsia="仿宋"/>
          <w:b/>
          <w:bCs/>
          <w:color w:val="FF0000"/>
          <w:sz w:val="32"/>
          <w:szCs w:val="32"/>
        </w:rPr>
      </w:pPr>
      <w:r>
        <w:rPr>
          <w:rFonts w:hint="eastAsia" w:ascii="仿宋" w:hAnsi="仿宋" w:eastAsia="仿宋"/>
          <w:b/>
          <w:bCs/>
          <w:sz w:val="32"/>
          <w:szCs w:val="32"/>
          <w:lang w:val="en-US" w:eastAsia="zh-CN"/>
        </w:rPr>
        <w:t>1</w:t>
      </w:r>
      <w:r>
        <w:rPr>
          <w:rFonts w:hint="eastAsia" w:ascii="仿宋" w:hAnsi="仿宋" w:eastAsia="仿宋"/>
          <w:b/>
          <w:bCs/>
          <w:sz w:val="32"/>
          <w:szCs w:val="32"/>
        </w:rPr>
        <w:t>.支撑数据的统计工作</w:t>
      </w:r>
    </w:p>
    <w:p>
      <w:pPr>
        <w:numPr>
          <w:ilvl w:val="0"/>
          <w:numId w:val="0"/>
        </w:numPr>
        <w:spacing w:line="56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各单位负责《本科教学质量报告》的支撑数据统计工作，</w:t>
      </w:r>
      <w:r>
        <w:rPr>
          <w:rFonts w:hint="eastAsia" w:ascii="仿宋" w:hAnsi="仿宋" w:eastAsia="仿宋"/>
          <w:sz w:val="32"/>
          <w:szCs w:val="32"/>
        </w:rPr>
        <w:t>数据统计时间</w:t>
      </w:r>
      <w:r>
        <w:rPr>
          <w:rFonts w:hint="eastAsia" w:ascii="仿宋" w:hAnsi="仿宋" w:eastAsia="仿宋"/>
          <w:sz w:val="32"/>
          <w:szCs w:val="32"/>
          <w:lang w:val="en-US" w:eastAsia="zh-CN"/>
        </w:rPr>
        <w:t>包括时点（截至2023年9月30日）、自然年（截至2022年12月31日）、学年（2022年9月1日-2023年8月31日），具体分工和统计时间详见《南昌大学2022-2023学年本科教学质量报告支撑数据统计任务分解表》（附件1）。</w:t>
      </w:r>
    </w:p>
    <w:p>
      <w:pPr>
        <w:spacing w:line="560" w:lineRule="exact"/>
        <w:ind w:firstLine="640"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2.</w:t>
      </w:r>
      <w:r>
        <w:rPr>
          <w:rFonts w:hint="eastAsia" w:ascii="仿宋" w:hAnsi="仿宋" w:eastAsia="仿宋"/>
          <w:b/>
          <w:bCs/>
          <w:sz w:val="32"/>
          <w:szCs w:val="32"/>
        </w:rPr>
        <w:t>《本科教学质量报告》撰写工作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各单位负责撰写相应内容，根据本单位情况进行梳理，对每一小点</w:t>
      </w:r>
      <w:r>
        <w:rPr>
          <w:rFonts w:hint="eastAsia" w:ascii="仿宋" w:hAnsi="仿宋" w:eastAsia="仿宋"/>
          <w:sz w:val="32"/>
          <w:szCs w:val="32"/>
          <w:lang w:val="en-US" w:eastAsia="zh-CN"/>
        </w:rPr>
        <w:t>进行简明、准确的</w:t>
      </w:r>
      <w:r>
        <w:rPr>
          <w:rFonts w:hint="eastAsia" w:ascii="仿宋" w:hAnsi="仿宋" w:eastAsia="仿宋"/>
          <w:sz w:val="32"/>
          <w:szCs w:val="32"/>
        </w:rPr>
        <w:t>阐述（</w:t>
      </w:r>
      <w:r>
        <w:rPr>
          <w:rFonts w:ascii="仿宋" w:hAnsi="仿宋" w:eastAsia="仿宋"/>
          <w:sz w:val="32"/>
          <w:szCs w:val="32"/>
        </w:rPr>
        <w:t>300</w:t>
      </w:r>
      <w:r>
        <w:rPr>
          <w:rFonts w:hint="eastAsia" w:ascii="仿宋" w:hAnsi="仿宋" w:eastAsia="仿宋"/>
          <w:sz w:val="32"/>
          <w:szCs w:val="32"/>
        </w:rPr>
        <w:t>字</w:t>
      </w:r>
      <w:r>
        <w:rPr>
          <w:rFonts w:hint="eastAsia" w:ascii="仿宋" w:hAnsi="仿宋" w:eastAsia="仿宋"/>
          <w:sz w:val="32"/>
          <w:szCs w:val="32"/>
          <w:lang w:val="en-US" w:eastAsia="zh-CN"/>
        </w:rPr>
        <w:t>左右</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并</w:t>
      </w:r>
      <w:r>
        <w:rPr>
          <w:rFonts w:hint="eastAsia" w:ascii="仿宋" w:hAnsi="仿宋" w:eastAsia="仿宋"/>
          <w:sz w:val="32"/>
          <w:szCs w:val="32"/>
        </w:rPr>
        <w:t>附支撑材料（统计图表等）</w:t>
      </w:r>
      <w:r>
        <w:rPr>
          <w:rFonts w:hint="eastAsia" w:ascii="仿宋" w:hAnsi="仿宋" w:eastAsia="仿宋"/>
          <w:sz w:val="32"/>
          <w:szCs w:val="32"/>
          <w:lang w:eastAsia="zh-CN"/>
        </w:rPr>
        <w:t>，</w:t>
      </w:r>
      <w:r>
        <w:rPr>
          <w:rFonts w:hint="eastAsia" w:ascii="仿宋" w:hAnsi="仿宋" w:eastAsia="仿宋"/>
          <w:sz w:val="32"/>
          <w:szCs w:val="32"/>
          <w:lang w:val="en-US" w:eastAsia="zh-CN"/>
        </w:rPr>
        <w:t>具体分工和统计时间详见《南昌大学2022-2023学年本科教学质量报告文本撰写任务分解表》（附件2）</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各单位在编撰过程中，要突出学校在贯彻落实全国教育大会和新时代全国高等学校本科教育工作会议精神，以及“新时代高教40条”，坚持“以本为本”，推进“四个回归”，提升本科教育教学工作，落实立德树人根本任务等方面的新理念、新思路、新举措、新成效，充分展示我校改革进取新气象。</w:t>
      </w:r>
    </w:p>
    <w:p>
      <w:pPr>
        <w:numPr>
          <w:ilvl w:val="0"/>
          <w:numId w:val="0"/>
        </w:numPr>
        <w:spacing w:line="560" w:lineRule="exact"/>
        <w:ind w:left="630" w:leftChars="0"/>
        <w:rPr>
          <w:rFonts w:hint="eastAsia"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时间安排</w:t>
      </w:r>
    </w:p>
    <w:p>
      <w:pPr>
        <w:numPr>
          <w:ilvl w:val="0"/>
          <w:numId w:val="0"/>
        </w:numPr>
        <w:spacing w:line="560" w:lineRule="exact"/>
        <w:ind w:firstLine="642"/>
        <w:rPr>
          <w:rFonts w:hint="default" w:ascii="仿宋" w:hAnsi="仿宋" w:eastAsia="仿宋"/>
          <w:b/>
          <w:sz w:val="32"/>
          <w:szCs w:val="32"/>
          <w:lang w:val="en-US" w:eastAsia="zh-CN"/>
        </w:rPr>
      </w:pPr>
      <w:r>
        <w:rPr>
          <w:rFonts w:hint="eastAsia" w:ascii="仿宋" w:hAnsi="仿宋" w:eastAsia="仿宋"/>
          <w:b/>
          <w:sz w:val="32"/>
          <w:szCs w:val="32"/>
          <w:lang w:val="en-US" w:eastAsia="zh-CN"/>
        </w:rPr>
        <w:t>1.11月13日　各单位报送联络人</w:t>
      </w:r>
    </w:p>
    <w:p>
      <w:pPr>
        <w:numPr>
          <w:ilvl w:val="0"/>
          <w:numId w:val="0"/>
        </w:numPr>
        <w:spacing w:line="560" w:lineRule="exact"/>
        <w:ind w:firstLine="642"/>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各单位通过办公网邮箱报送联络人（姓名、联系方式）至教务处钱钰。</w:t>
      </w:r>
    </w:p>
    <w:p>
      <w:pPr>
        <w:numPr>
          <w:ilvl w:val="0"/>
          <w:numId w:val="0"/>
        </w:numPr>
        <w:spacing w:line="560" w:lineRule="exact"/>
        <w:ind w:firstLine="642"/>
        <w:rPr>
          <w:rFonts w:hint="eastAsia" w:ascii="仿宋" w:hAnsi="仿宋" w:eastAsia="仿宋"/>
          <w:b/>
          <w:sz w:val="32"/>
          <w:szCs w:val="32"/>
          <w:lang w:val="en-US" w:eastAsia="zh-CN"/>
        </w:rPr>
      </w:pPr>
      <w:r>
        <w:rPr>
          <w:rFonts w:hint="eastAsia" w:ascii="仿宋" w:hAnsi="仿宋" w:eastAsia="仿宋"/>
          <w:b/>
          <w:sz w:val="32"/>
          <w:szCs w:val="32"/>
          <w:lang w:val="en-US" w:eastAsia="zh-CN"/>
        </w:rPr>
        <w:t>2.11月13日-11月16日　各单位统计数据、撰写文本</w:t>
      </w:r>
    </w:p>
    <w:p>
      <w:pPr>
        <w:numPr>
          <w:ilvl w:val="0"/>
          <w:numId w:val="0"/>
        </w:numPr>
        <w:spacing w:line="560" w:lineRule="exact"/>
        <w:ind w:firstLine="642"/>
        <w:rPr>
          <w:rFonts w:hint="eastAsia" w:ascii="仿宋" w:hAnsi="仿宋" w:eastAsia="仿宋"/>
          <w:b w:val="0"/>
          <w:bCs/>
          <w:sz w:val="32"/>
          <w:szCs w:val="32"/>
          <w:lang w:val="en-US" w:eastAsia="zh-CN"/>
        </w:rPr>
      </w:pPr>
      <w:r>
        <w:rPr>
          <w:rFonts w:hint="default" w:ascii="仿宋" w:hAnsi="仿宋" w:eastAsia="仿宋"/>
          <w:b w:val="0"/>
          <w:bCs/>
          <w:sz w:val="32"/>
          <w:szCs w:val="32"/>
          <w:lang w:val="en-US" w:eastAsia="zh-CN"/>
        </w:rPr>
        <w:t>各单位收集、完善支撑数据，撰写质量报告相应部分</w:t>
      </w:r>
      <w:r>
        <w:rPr>
          <w:rFonts w:hint="eastAsia" w:ascii="仿宋" w:hAnsi="仿宋" w:eastAsia="仿宋"/>
          <w:b w:val="0"/>
          <w:bCs/>
          <w:sz w:val="32"/>
          <w:szCs w:val="32"/>
          <w:lang w:val="en-US" w:eastAsia="zh-CN"/>
        </w:rPr>
        <w:t>。</w:t>
      </w:r>
    </w:p>
    <w:p>
      <w:pPr>
        <w:numPr>
          <w:ilvl w:val="0"/>
          <w:numId w:val="0"/>
        </w:numPr>
        <w:spacing w:line="560" w:lineRule="exact"/>
        <w:ind w:firstLine="640" w:firstLineChars="200"/>
        <w:rPr>
          <w:rFonts w:hint="default" w:ascii="仿宋" w:hAnsi="仿宋" w:eastAsia="仿宋"/>
          <w:b/>
          <w:sz w:val="32"/>
          <w:szCs w:val="32"/>
          <w:lang w:val="en-US" w:eastAsia="zh-CN"/>
        </w:rPr>
      </w:pPr>
      <w:r>
        <w:rPr>
          <w:rFonts w:hint="eastAsia" w:ascii="仿宋" w:hAnsi="仿宋" w:eastAsia="仿宋"/>
          <w:b/>
          <w:sz w:val="32"/>
          <w:szCs w:val="32"/>
          <w:lang w:val="en-US" w:eastAsia="zh-CN"/>
        </w:rPr>
        <w:t>3.11月17日　各单位报送统计数据和撰写文本</w:t>
      </w:r>
    </w:p>
    <w:p>
      <w:pPr>
        <w:numPr>
          <w:ilvl w:val="0"/>
          <w:numId w:val="0"/>
        </w:numPr>
        <w:spacing w:line="560" w:lineRule="exact"/>
        <w:ind w:firstLine="642"/>
        <w:rPr>
          <w:rFonts w:hint="default" w:ascii="仿宋" w:hAnsi="仿宋" w:eastAsia="仿宋"/>
          <w:b w:val="0"/>
          <w:bCs/>
          <w:sz w:val="32"/>
          <w:szCs w:val="32"/>
          <w:lang w:val="en-US" w:eastAsia="zh-CN"/>
        </w:rPr>
      </w:pPr>
      <w:r>
        <w:rPr>
          <w:rFonts w:hint="default" w:ascii="仿宋" w:hAnsi="仿宋" w:eastAsia="仿宋"/>
          <w:b w:val="0"/>
          <w:bCs/>
          <w:sz w:val="32"/>
          <w:szCs w:val="32"/>
          <w:lang w:val="en-US" w:eastAsia="zh-CN"/>
        </w:rPr>
        <w:t>各单位负责文本撰写和支撑数据统计需经过单位负责人审核后报送，电子档通过办公网发送至教务处钱钰，纸档由负责人签字后交至办公楼108办公室</w:t>
      </w:r>
      <w:r>
        <w:rPr>
          <w:rFonts w:hint="eastAsia" w:ascii="仿宋" w:hAnsi="仿宋" w:eastAsia="仿宋"/>
          <w:b w:val="0"/>
          <w:bCs/>
          <w:sz w:val="32"/>
          <w:szCs w:val="32"/>
          <w:lang w:val="en-US" w:eastAsia="zh-CN"/>
        </w:rPr>
        <w:t>。</w:t>
      </w:r>
    </w:p>
    <w:p>
      <w:pPr>
        <w:numPr>
          <w:ilvl w:val="0"/>
          <w:numId w:val="0"/>
        </w:numPr>
        <w:spacing w:line="560" w:lineRule="exact"/>
        <w:ind w:firstLine="642"/>
        <w:rPr>
          <w:rFonts w:hint="eastAsia" w:ascii="仿宋" w:hAnsi="仿宋" w:eastAsia="仿宋"/>
          <w:b/>
          <w:sz w:val="32"/>
          <w:szCs w:val="32"/>
          <w:lang w:val="en-US" w:eastAsia="zh-CN"/>
        </w:rPr>
      </w:pPr>
      <w:r>
        <w:rPr>
          <w:rFonts w:hint="eastAsia" w:ascii="仿宋" w:hAnsi="仿宋" w:eastAsia="仿宋"/>
          <w:b/>
          <w:sz w:val="32"/>
          <w:szCs w:val="32"/>
          <w:lang w:val="en-US" w:eastAsia="zh-CN"/>
        </w:rPr>
        <w:t>4.11月18日-26日　领导小组办公室统稿、并审议修改</w:t>
      </w:r>
    </w:p>
    <w:p>
      <w:pPr>
        <w:numPr>
          <w:ilvl w:val="0"/>
          <w:numId w:val="0"/>
        </w:numPr>
        <w:spacing w:line="560" w:lineRule="exact"/>
        <w:ind w:firstLine="642"/>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11月18日-20日 领导小组办公室统稿；</w:t>
      </w:r>
    </w:p>
    <w:p>
      <w:pPr>
        <w:numPr>
          <w:ilvl w:val="0"/>
          <w:numId w:val="0"/>
        </w:numPr>
        <w:spacing w:line="560" w:lineRule="exact"/>
        <w:ind w:left="4478" w:leftChars="304" w:hanging="3840" w:hangingChars="1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11月21日-25日 征求评估领导小组成员单位意见；</w:t>
      </w:r>
    </w:p>
    <w:p>
      <w:pPr>
        <w:numPr>
          <w:ilvl w:val="0"/>
          <w:numId w:val="0"/>
        </w:numPr>
        <w:spacing w:line="560" w:lineRule="exact"/>
        <w:ind w:firstLine="642"/>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11与25日-26日 修改后形成上会审议稿。</w:t>
      </w:r>
    </w:p>
    <w:p>
      <w:pPr>
        <w:numPr>
          <w:ilvl w:val="0"/>
          <w:numId w:val="0"/>
        </w:numPr>
        <w:spacing w:line="560" w:lineRule="exact"/>
        <w:ind w:firstLine="642"/>
        <w:rPr>
          <w:rFonts w:hint="eastAsia" w:ascii="仿宋" w:hAnsi="仿宋" w:eastAsia="仿宋"/>
          <w:b/>
          <w:sz w:val="32"/>
          <w:szCs w:val="32"/>
          <w:lang w:val="en-US" w:eastAsia="zh-CN"/>
        </w:rPr>
      </w:pPr>
      <w:r>
        <w:rPr>
          <w:rFonts w:hint="eastAsia" w:ascii="仿宋" w:hAnsi="仿宋" w:eastAsia="仿宋"/>
          <w:b/>
          <w:sz w:val="32"/>
          <w:szCs w:val="32"/>
          <w:lang w:val="en-US" w:eastAsia="zh-CN"/>
        </w:rPr>
        <w:t>5.11月27日-12月5日　上会发布</w:t>
      </w:r>
    </w:p>
    <w:p>
      <w:pPr>
        <w:numPr>
          <w:ilvl w:val="0"/>
          <w:numId w:val="0"/>
        </w:numPr>
        <w:spacing w:line="560" w:lineRule="exact"/>
        <w:ind w:firstLine="642"/>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提交本科生院院务会审议后经评估领导小组审定，按要求上报教育厅并发布。</w:t>
      </w:r>
    </w:p>
    <w:p>
      <w:pPr>
        <w:numPr>
          <w:ilvl w:val="0"/>
          <w:numId w:val="0"/>
        </w:numPr>
        <w:spacing w:line="560" w:lineRule="exact"/>
        <w:ind w:firstLine="642"/>
        <w:rPr>
          <w:rFonts w:ascii="仿宋" w:hAnsi="仿宋" w:eastAsia="仿宋"/>
          <w:b/>
          <w:sz w:val="32"/>
          <w:szCs w:val="32"/>
        </w:rPr>
      </w:pPr>
      <w:r>
        <w:rPr>
          <w:rFonts w:hint="eastAsia" w:ascii="仿宋" w:hAnsi="仿宋" w:eastAsia="仿宋"/>
          <w:b/>
          <w:sz w:val="32"/>
          <w:szCs w:val="32"/>
          <w:lang w:val="en-US" w:eastAsia="zh-CN"/>
        </w:rPr>
        <w:t>五</w:t>
      </w:r>
      <w:r>
        <w:rPr>
          <w:rFonts w:hint="eastAsia" w:ascii="仿宋" w:hAnsi="仿宋" w:eastAsia="仿宋"/>
          <w:b/>
          <w:sz w:val="32"/>
          <w:szCs w:val="32"/>
        </w:rPr>
        <w:t>、其他事宜</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1.南昌大学历年本科教学质量报告详见南昌大学教务处主页：</w:t>
      </w:r>
      <w:r>
        <w:rPr>
          <w:rFonts w:hint="eastAsia" w:ascii="仿宋" w:hAnsi="仿宋" w:eastAsia="仿宋"/>
          <w:sz w:val="28"/>
          <w:szCs w:val="28"/>
        </w:rPr>
        <w:t>https://jwc.ncu.edu.cn/ddlm/zlbg/index.htm</w:t>
      </w:r>
      <w:r>
        <w:rPr>
          <w:rFonts w:hint="eastAsia" w:ascii="仿宋" w:hAnsi="仿宋" w:eastAsia="仿宋"/>
          <w:sz w:val="28"/>
          <w:szCs w:val="28"/>
          <w:lang w:eastAsia="zh-CN"/>
        </w:rPr>
        <w:t>。</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.各单位联络员请加入“南昌大学</w:t>
      </w:r>
      <w:r>
        <w:rPr>
          <w:rFonts w:hint="eastAsia" w:ascii="仿宋" w:hAnsi="仿宋" w:eastAsia="仿宋"/>
          <w:sz w:val="32"/>
          <w:szCs w:val="32"/>
          <w:lang w:val="en-US" w:eastAsia="zh-CN"/>
        </w:rPr>
        <w:t>2022-2023学年</w:t>
      </w:r>
      <w:r>
        <w:rPr>
          <w:rFonts w:hint="eastAsia" w:ascii="仿宋" w:hAnsi="仿宋" w:eastAsia="仿宋"/>
          <w:sz w:val="32"/>
          <w:szCs w:val="32"/>
        </w:rPr>
        <w:t>本科教学质量</w:t>
      </w:r>
      <w:r>
        <w:rPr>
          <w:rFonts w:hint="eastAsia" w:ascii="仿宋" w:hAnsi="仿宋" w:eastAsia="仿宋"/>
          <w:sz w:val="32"/>
          <w:szCs w:val="32"/>
          <w:lang w:val="en-US" w:eastAsia="zh-CN"/>
        </w:rPr>
        <w:t>报告</w:t>
      </w:r>
      <w:r>
        <w:rPr>
          <w:rFonts w:hint="eastAsia" w:ascii="仿宋" w:hAnsi="仿宋" w:eastAsia="仿宋"/>
          <w:sz w:val="32"/>
          <w:szCs w:val="32"/>
        </w:rPr>
        <w:t>”</w:t>
      </w:r>
      <w:r>
        <w:rPr>
          <w:rFonts w:hint="eastAsia" w:ascii="仿宋" w:hAnsi="仿宋" w:eastAsia="仿宋"/>
          <w:sz w:val="32"/>
          <w:szCs w:val="32"/>
          <w:lang w:val="en-US" w:eastAsia="zh-CN"/>
        </w:rPr>
        <w:t>微信</w:t>
      </w:r>
      <w:r>
        <w:rPr>
          <w:rFonts w:hint="eastAsia" w:ascii="仿宋" w:hAnsi="仿宋" w:eastAsia="仿宋"/>
          <w:sz w:val="32"/>
          <w:szCs w:val="32"/>
        </w:rPr>
        <w:t>群，</w:t>
      </w:r>
      <w:r>
        <w:rPr>
          <w:rFonts w:hint="eastAsia" w:ascii="仿宋" w:hAnsi="仿宋" w:eastAsia="仿宋"/>
          <w:sz w:val="32"/>
          <w:szCs w:val="32"/>
          <w:lang w:val="en-US" w:eastAsia="zh-CN"/>
        </w:rPr>
        <w:t>具体二维码如下</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1540" w:leftChars="200" w:hanging="1120" w:hangingChars="35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1209040" cy="1173480"/>
            <wp:effectExtent l="0" t="0" r="10160" b="7620"/>
            <wp:docPr id="7" name="图片 7" descr="06d6a490056130b718c0c607fd27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6d6a490056130b718c0c607fd27eee"/>
                    <pic:cNvPicPr>
                      <a:picLocks noChangeAspect="1"/>
                    </pic:cNvPicPr>
                  </pic:nvPicPr>
                  <pic:blipFill>
                    <a:blip r:embed="rId8"/>
                    <a:srcRect l="11375" t="36059" r="11695" b="18648"/>
                    <a:stretch>
                      <a:fillRect/>
                    </a:stretch>
                  </pic:blipFill>
                  <pic:spPr>
                    <a:xfrm>
                      <a:off x="0" y="0"/>
                      <a:ext cx="1209040" cy="1173480"/>
                    </a:xfrm>
                    <a:prstGeom prst="rect">
                      <a:avLst/>
                    </a:prstGeom>
                  </pic:spPr>
                </pic:pic>
              </a:graphicData>
            </a:graphic>
          </wp:inline>
        </w:drawing>
      </w:r>
    </w:p>
    <w:p>
      <w:pPr>
        <w:spacing w:line="560" w:lineRule="exact"/>
        <w:ind w:left="1540" w:leftChars="200" w:hanging="1120" w:hangingChars="350"/>
        <w:rPr>
          <w:rFonts w:ascii="仿宋" w:hAnsi="仿宋" w:eastAsia="仿宋"/>
          <w:sz w:val="32"/>
          <w:szCs w:val="32"/>
        </w:rPr>
      </w:pPr>
      <w:r>
        <w:rPr>
          <w:rFonts w:hint="eastAsia" w:ascii="仿宋" w:hAnsi="仿宋" w:eastAsia="仿宋"/>
          <w:sz w:val="32"/>
          <w:szCs w:val="32"/>
        </w:rPr>
        <w:t>附件：</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.南昌大学</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学年本科教学质量报告支撑数据</w:t>
      </w:r>
      <w:r>
        <w:rPr>
          <w:rFonts w:hint="eastAsia" w:ascii="仿宋" w:hAnsi="仿宋" w:eastAsia="仿宋"/>
          <w:sz w:val="32"/>
          <w:szCs w:val="32"/>
          <w:lang w:val="en-US" w:eastAsia="zh-CN"/>
        </w:rPr>
        <w:t>统计任务分解表</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.南昌大学</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学年本科教学质量报告</w:t>
      </w:r>
      <w:r>
        <w:rPr>
          <w:rFonts w:hint="eastAsia" w:ascii="仿宋" w:hAnsi="仿宋" w:eastAsia="仿宋"/>
          <w:sz w:val="32"/>
          <w:szCs w:val="32"/>
          <w:lang w:val="en-US" w:eastAsia="zh-CN"/>
        </w:rPr>
        <w:t>文本撰写任务分解表</w:t>
      </w:r>
    </w:p>
    <w:p>
      <w:pPr>
        <w:spacing w:line="560" w:lineRule="exact"/>
        <w:ind w:firstLine="640" w:firstLineChars="200"/>
        <w:rPr>
          <w:rFonts w:hint="default" w:ascii="仿宋" w:hAnsi="仿宋" w:eastAsia="仿宋"/>
          <w:sz w:val="32"/>
          <w:szCs w:val="32"/>
          <w:lang w:val="en-US"/>
        </w:rPr>
      </w:pPr>
      <w:r>
        <w:rPr>
          <w:rFonts w:hint="eastAsia" w:ascii="仿宋" w:hAnsi="仿宋" w:eastAsia="仿宋"/>
          <w:sz w:val="32"/>
          <w:szCs w:val="32"/>
          <w:lang w:val="en-US" w:eastAsia="zh-CN"/>
        </w:rPr>
        <w:t>3</w:t>
      </w:r>
      <w:r>
        <w:rPr>
          <w:rFonts w:hint="eastAsia" w:ascii="仿宋" w:hAnsi="仿宋" w:eastAsia="仿宋"/>
          <w:sz w:val="32"/>
          <w:szCs w:val="32"/>
        </w:rPr>
        <w:t>.南昌大学</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学年本科教学质量报告分学科专业数、学生数数据表</w:t>
      </w:r>
    </w:p>
    <w:p>
      <w:pPr>
        <w:spacing w:line="560" w:lineRule="exact"/>
        <w:ind w:left="6078" w:leftChars="304" w:hanging="5440" w:hangingChars="1700"/>
        <w:jc w:val="right"/>
        <w:rPr>
          <w:rFonts w:hint="eastAsia" w:ascii="仿宋" w:hAnsi="仿宋" w:eastAsia="仿宋"/>
          <w:sz w:val="32"/>
          <w:szCs w:val="32"/>
        </w:rPr>
      </w:pPr>
    </w:p>
    <w:p>
      <w:pPr>
        <w:spacing w:line="560" w:lineRule="exact"/>
        <w:ind w:firstLine="2240" w:firstLineChars="700"/>
        <w:jc w:val="both"/>
        <w:rPr>
          <w:rFonts w:hint="eastAsia" w:ascii="仿宋" w:hAnsi="仿宋" w:eastAsia="仿宋"/>
          <w:sz w:val="32"/>
          <w:szCs w:val="32"/>
          <w:lang w:val="en-US" w:eastAsia="zh-CN"/>
        </w:rPr>
      </w:pPr>
      <w:bookmarkStart w:id="0" w:name="_GoBack"/>
      <w:r>
        <w:rPr>
          <w:rFonts w:hint="eastAsia" w:ascii="仿宋" w:hAnsi="仿宋" w:eastAsia="仿宋"/>
          <w:sz w:val="32"/>
          <w:szCs w:val="32"/>
        </w:rPr>
        <w:t>南昌大学本科教学评估工作领导小组</w:t>
      </w:r>
      <w:r>
        <w:rPr>
          <w:rFonts w:hint="eastAsia" w:ascii="仿宋" w:hAnsi="仿宋" w:eastAsia="仿宋"/>
          <w:sz w:val="32"/>
          <w:szCs w:val="32"/>
          <w:lang w:val="en-US" w:eastAsia="zh-CN"/>
        </w:rPr>
        <w:t>办公室</w:t>
      </w:r>
    </w:p>
    <w:p>
      <w:pPr>
        <w:spacing w:line="560" w:lineRule="exact"/>
        <w:ind w:firstLine="4800" w:firstLineChars="1500"/>
        <w:jc w:val="both"/>
        <w:rPr>
          <w:rFonts w:hint="eastAsia" w:ascii="仿宋" w:hAnsi="仿宋" w:eastAsia="仿宋"/>
          <w:sz w:val="32"/>
          <w:szCs w:val="32"/>
          <w:lang w:eastAsia="zh-CN"/>
        </w:rPr>
      </w:pPr>
      <w:r>
        <w:rPr>
          <w:rFonts w:hint="eastAsia" w:ascii="仿宋" w:hAnsi="仿宋" w:eastAsia="仿宋"/>
          <w:sz w:val="32"/>
          <w:szCs w:val="32"/>
          <w:lang w:val="en-US" w:eastAsia="zh-CN"/>
        </w:rPr>
        <w:t>教务处</w:t>
      </w:r>
    </w:p>
    <w:p>
      <w:pPr>
        <w:spacing w:line="560" w:lineRule="exact"/>
        <w:ind w:firstLine="3840" w:firstLineChars="1200"/>
        <w:jc w:val="both"/>
        <w:rPr>
          <w:rFonts w:hint="eastAsia"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bookmarkEnd w:id="0"/>
    <w:p>
      <w:pPr>
        <w:spacing w:line="560" w:lineRule="exact"/>
        <w:jc w:val="right"/>
        <w:rPr>
          <w:rFonts w:hint="eastAsia" w:ascii="仿宋" w:hAnsi="仿宋" w:eastAsia="仿宋"/>
          <w:sz w:val="32"/>
          <w:szCs w:val="32"/>
        </w:rPr>
      </w:pPr>
    </w:p>
    <w:p>
      <w:pPr>
        <w:spacing w:line="560" w:lineRule="exact"/>
        <w:jc w:val="right"/>
        <w:rPr>
          <w:rFonts w:hint="eastAsia" w:ascii="仿宋" w:hAnsi="仿宋" w:eastAsia="仿宋"/>
          <w:sz w:val="32"/>
          <w:szCs w:val="32"/>
        </w:rPr>
      </w:pPr>
    </w:p>
    <w:p>
      <w:pPr>
        <w:spacing w:line="560" w:lineRule="exact"/>
        <w:jc w:val="right"/>
        <w:rPr>
          <w:rFonts w:hint="eastAsia" w:ascii="仿宋" w:hAnsi="仿宋" w:eastAsia="仿宋"/>
          <w:sz w:val="32"/>
          <w:szCs w:val="32"/>
        </w:rPr>
      </w:pPr>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
      <w:tblGrid>
        <w:gridCol w:w="4436"/>
        <w:gridCol w:w="443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4" w:type="dxa"/>
            <w:bottom w:w="0" w:type="dxa"/>
            <w:right w:w="284" w:type="dxa"/>
          </w:tblCellMar>
        </w:tblPrEx>
        <w:trPr>
          <w:jc w:val="center"/>
        </w:trPr>
        <w:tc>
          <w:tcPr>
            <w:tcW w:w="4436" w:type="dxa"/>
            <w:tcBorders>
              <w:top w:val="single" w:color="auto" w:sz="12" w:space="0"/>
              <w:left w:val="nil"/>
              <w:bottom w:val="single" w:color="auto" w:sz="12" w:space="0"/>
              <w:right w:val="nil"/>
            </w:tcBorders>
          </w:tcPr>
          <w:p>
            <w:pPr>
              <w:jc w:val="left"/>
              <w:rPr>
                <w:rFonts w:ascii="仿宋_GB2312" w:eastAsia="仿宋_GB2312"/>
                <w:sz w:val="32"/>
                <w:szCs w:val="32"/>
                <w:lang w:val="zh-CN"/>
              </w:rPr>
            </w:pPr>
            <w:r>
              <w:rPr>
                <w:rFonts w:hint="eastAsia" w:ascii="仿宋_GB2312" w:eastAsia="仿宋_GB2312"/>
                <w:sz w:val="32"/>
                <w:szCs w:val="32"/>
                <w:lang w:val="zh-CN"/>
              </w:rPr>
              <w:t>南昌大学教务处</w:t>
            </w:r>
          </w:p>
        </w:tc>
        <w:tc>
          <w:tcPr>
            <w:tcW w:w="4436" w:type="dxa"/>
            <w:tcBorders>
              <w:top w:val="single" w:color="auto" w:sz="12" w:space="0"/>
              <w:left w:val="nil"/>
              <w:bottom w:val="single" w:color="auto" w:sz="12" w:space="0"/>
              <w:right w:val="nil"/>
            </w:tcBorders>
          </w:tcPr>
          <w:p>
            <w:pPr>
              <w:wordWrap w:val="0"/>
              <w:ind w:right="140"/>
              <w:jc w:val="right"/>
              <w:rPr>
                <w:rFonts w:ascii="仿宋_GB2312" w:eastAsia="仿宋_GB2312"/>
                <w:sz w:val="32"/>
                <w:szCs w:val="32"/>
                <w:lang w:val="zh-CN"/>
              </w:rPr>
            </w:pPr>
            <w:r>
              <w:rPr>
                <w:rFonts w:hint="eastAsia" w:ascii="仿宋_GB2312" w:hAnsi="宋体" w:eastAsia="仿宋_GB2312" w:cs="宋体"/>
                <w:kern w:val="0"/>
                <w:sz w:val="32"/>
                <w:szCs w:val="32"/>
              </w:rPr>
              <w:t xml:space="preserve"> 20</w:t>
            </w:r>
            <w:r>
              <w:rPr>
                <w:rFonts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3</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11</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日</w:t>
            </w:r>
            <w:r>
              <w:rPr>
                <w:rFonts w:hint="eastAsia" w:ascii="仿宋_GB2312" w:eastAsia="仿宋_GB2312"/>
                <w:sz w:val="32"/>
                <w:szCs w:val="32"/>
                <w:lang w:val="zh-CN"/>
              </w:rPr>
              <w:t>印发</w:t>
            </w:r>
          </w:p>
        </w:tc>
      </w:tr>
    </w:tbl>
    <w:p>
      <w:pPr>
        <w:spacing w:before="156" w:beforeLines="50" w:line="560" w:lineRule="exact"/>
        <w:rPr>
          <w:lang w:val="en-US" w:eastAsia="zh-CN"/>
        </w:rPr>
      </w:pPr>
    </w:p>
    <w:sectPr>
      <w:headerReference r:id="rId5" w:type="first"/>
      <w:headerReference r:id="rId3" w:type="default"/>
      <w:footerReference r:id="rId6" w:type="default"/>
      <w:headerReference r:id="rId4" w:type="even"/>
      <w:pgSz w:w="11906" w:h="16838"/>
      <w:pgMar w:top="2098" w:right="1588" w:bottom="1871" w:left="1588" w:header="851" w:footer="1191"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127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KkUuzQAAAAAwEAAA8AAAAAAAAAAQAgAAAAIgAAAGRycy9kb3ducmV2LnhtbFBLAQIUABQA&#10;AAAIAIdO4kC4GJyY+AEAAAEEAAAOAAAAAAAAAAEAIAAAAB8BAABkcnMvZTJvRG9jLnhtbFBLBQYA&#10;AAAABgAGAFkBAACJBQAAAAA=&#10;">
              <v:fill on="f" focussize="0,0"/>
              <v:stroke on="f"/>
              <v:imagedata o:title=""/>
              <o:lock v:ext="edit" aspectratio="f"/>
              <v:textbox inset="0mm,0mm,0mm,0mm" style="mso-fit-shape-to-text:t;">
                <w:txbxContent>
                  <w:p>
                    <w:pPr>
                      <w:pStyle w:val="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0ZDU2YzFmOWQ3MGYwZGU1ODYxYjZlZGI4YTIyNDAifQ=="/>
  </w:docVars>
  <w:rsids>
    <w:rsidRoot w:val="00E9755E"/>
    <w:rsid w:val="00026CC9"/>
    <w:rsid w:val="000B245B"/>
    <w:rsid w:val="00102A20"/>
    <w:rsid w:val="00121EC8"/>
    <w:rsid w:val="001261D8"/>
    <w:rsid w:val="001B741A"/>
    <w:rsid w:val="001D3118"/>
    <w:rsid w:val="00206235"/>
    <w:rsid w:val="00270B24"/>
    <w:rsid w:val="002910FF"/>
    <w:rsid w:val="003611BA"/>
    <w:rsid w:val="00382FAE"/>
    <w:rsid w:val="003A4914"/>
    <w:rsid w:val="00432746"/>
    <w:rsid w:val="00434F48"/>
    <w:rsid w:val="004F6C3B"/>
    <w:rsid w:val="00507644"/>
    <w:rsid w:val="0059604C"/>
    <w:rsid w:val="005F1B4D"/>
    <w:rsid w:val="00675744"/>
    <w:rsid w:val="00696FA7"/>
    <w:rsid w:val="00726E7C"/>
    <w:rsid w:val="007B468A"/>
    <w:rsid w:val="007E148A"/>
    <w:rsid w:val="00867AF5"/>
    <w:rsid w:val="0087009A"/>
    <w:rsid w:val="008A6EE4"/>
    <w:rsid w:val="008F5D2F"/>
    <w:rsid w:val="009B625D"/>
    <w:rsid w:val="009C63FC"/>
    <w:rsid w:val="00A11203"/>
    <w:rsid w:val="00A349DB"/>
    <w:rsid w:val="00A375C2"/>
    <w:rsid w:val="00AA3A63"/>
    <w:rsid w:val="00AD0D81"/>
    <w:rsid w:val="00AF1370"/>
    <w:rsid w:val="00B74883"/>
    <w:rsid w:val="00BB2643"/>
    <w:rsid w:val="00CF6791"/>
    <w:rsid w:val="00D245E2"/>
    <w:rsid w:val="00DA2CED"/>
    <w:rsid w:val="00E07E4F"/>
    <w:rsid w:val="00E9755E"/>
    <w:rsid w:val="00EC2749"/>
    <w:rsid w:val="00F14815"/>
    <w:rsid w:val="00F721B1"/>
    <w:rsid w:val="00F73261"/>
    <w:rsid w:val="00F92916"/>
    <w:rsid w:val="00F96656"/>
    <w:rsid w:val="00FE6093"/>
    <w:rsid w:val="00FF6F39"/>
    <w:rsid w:val="01B003F0"/>
    <w:rsid w:val="023F0267"/>
    <w:rsid w:val="02A83F1B"/>
    <w:rsid w:val="02B93B83"/>
    <w:rsid w:val="055B3F73"/>
    <w:rsid w:val="05941772"/>
    <w:rsid w:val="0600515B"/>
    <w:rsid w:val="07BE7577"/>
    <w:rsid w:val="09847E15"/>
    <w:rsid w:val="09AE664A"/>
    <w:rsid w:val="0BE0489D"/>
    <w:rsid w:val="10C55FD8"/>
    <w:rsid w:val="190876B3"/>
    <w:rsid w:val="1A90461B"/>
    <w:rsid w:val="1FA24745"/>
    <w:rsid w:val="2A1D0CF6"/>
    <w:rsid w:val="2A844827"/>
    <w:rsid w:val="2B3B6DE4"/>
    <w:rsid w:val="2E5642BC"/>
    <w:rsid w:val="35407E10"/>
    <w:rsid w:val="38E81ADE"/>
    <w:rsid w:val="3930270B"/>
    <w:rsid w:val="3CF14C06"/>
    <w:rsid w:val="3EDC2345"/>
    <w:rsid w:val="443E2C6C"/>
    <w:rsid w:val="44B1701D"/>
    <w:rsid w:val="49C07321"/>
    <w:rsid w:val="4ACD4524"/>
    <w:rsid w:val="4F7C0B1A"/>
    <w:rsid w:val="50EF0AF5"/>
    <w:rsid w:val="53F437A5"/>
    <w:rsid w:val="56FD4AAB"/>
    <w:rsid w:val="58254B7B"/>
    <w:rsid w:val="5D1C479E"/>
    <w:rsid w:val="62231764"/>
    <w:rsid w:val="632E2B36"/>
    <w:rsid w:val="63D84701"/>
    <w:rsid w:val="67631C61"/>
    <w:rsid w:val="6C3F1258"/>
    <w:rsid w:val="6E091B00"/>
    <w:rsid w:val="7FCB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qFormat/>
    <w:uiPriority w:val="99"/>
    <w:pPr>
      <w:jc w:val="left"/>
    </w:pPr>
  </w:style>
  <w:style w:type="paragraph" w:styleId="3">
    <w:name w:val="Balloon Text"/>
    <w:basedOn w:val="1"/>
    <w:link w:val="37"/>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annotation subject"/>
    <w:basedOn w:val="2"/>
    <w:next w:val="2"/>
    <w:link w:val="3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页眉 字符"/>
    <w:basedOn w:val="8"/>
    <w:link w:val="5"/>
    <w:qFormat/>
    <w:uiPriority w:val="0"/>
    <w:rPr>
      <w:rFonts w:ascii="Times New Roman" w:hAnsi="Times New Roman" w:eastAsia="宋体" w:cs="Times New Roman"/>
      <w:sz w:val="18"/>
      <w:szCs w:val="18"/>
    </w:rPr>
  </w:style>
  <w:style w:type="character" w:customStyle="1" w:styleId="12">
    <w:name w:val="font191"/>
    <w:basedOn w:val="8"/>
    <w:qFormat/>
    <w:uiPriority w:val="0"/>
    <w:rPr>
      <w:rFonts w:hint="eastAsia" w:ascii="宋体" w:hAnsi="宋体" w:eastAsia="宋体" w:cs="宋体"/>
      <w:b/>
      <w:color w:val="auto"/>
      <w:sz w:val="22"/>
      <w:szCs w:val="22"/>
      <w:u w:val="none"/>
    </w:rPr>
  </w:style>
  <w:style w:type="character" w:customStyle="1" w:styleId="13">
    <w:name w:val="font181"/>
    <w:basedOn w:val="8"/>
    <w:qFormat/>
    <w:uiPriority w:val="0"/>
    <w:rPr>
      <w:rFonts w:hint="eastAsia" w:ascii="宋体" w:hAnsi="宋体" w:eastAsia="宋体" w:cs="宋体"/>
      <w:b/>
      <w:color w:val="auto"/>
      <w:sz w:val="22"/>
      <w:szCs w:val="22"/>
      <w:u w:val="none"/>
    </w:rPr>
  </w:style>
  <w:style w:type="character" w:customStyle="1" w:styleId="14">
    <w:name w:val="font171"/>
    <w:basedOn w:val="8"/>
    <w:qFormat/>
    <w:uiPriority w:val="0"/>
    <w:rPr>
      <w:rFonts w:hint="eastAsia" w:ascii="宋体" w:hAnsi="宋体" w:eastAsia="宋体" w:cs="宋体"/>
      <w:b/>
      <w:color w:val="auto"/>
      <w:sz w:val="18"/>
      <w:szCs w:val="18"/>
      <w:u w:val="none"/>
    </w:rPr>
  </w:style>
  <w:style w:type="character" w:customStyle="1" w:styleId="15">
    <w:name w:val="font151"/>
    <w:basedOn w:val="8"/>
    <w:qFormat/>
    <w:uiPriority w:val="0"/>
    <w:rPr>
      <w:rFonts w:hint="eastAsia" w:ascii="宋体" w:hAnsi="宋体" w:eastAsia="宋体" w:cs="宋体"/>
      <w:color w:val="auto"/>
      <w:sz w:val="18"/>
      <w:szCs w:val="18"/>
      <w:u w:val="none"/>
    </w:rPr>
  </w:style>
  <w:style w:type="character" w:customStyle="1" w:styleId="16">
    <w:name w:val="font51"/>
    <w:basedOn w:val="8"/>
    <w:qFormat/>
    <w:uiPriority w:val="0"/>
    <w:rPr>
      <w:rFonts w:hint="eastAsia" w:ascii="宋体" w:hAnsi="宋体" w:eastAsia="宋体" w:cs="宋体"/>
      <w:color w:val="auto"/>
      <w:sz w:val="22"/>
      <w:szCs w:val="22"/>
      <w:u w:val="none"/>
    </w:rPr>
  </w:style>
  <w:style w:type="character" w:customStyle="1" w:styleId="17">
    <w:name w:val="font81"/>
    <w:basedOn w:val="8"/>
    <w:qFormat/>
    <w:uiPriority w:val="0"/>
    <w:rPr>
      <w:rFonts w:hint="eastAsia" w:ascii="宋体" w:hAnsi="宋体" w:eastAsia="宋体" w:cs="宋体"/>
      <w:color w:val="FF0000"/>
      <w:sz w:val="22"/>
      <w:szCs w:val="22"/>
      <w:u w:val="none"/>
    </w:rPr>
  </w:style>
  <w:style w:type="character" w:customStyle="1" w:styleId="18">
    <w:name w:val="font71"/>
    <w:basedOn w:val="8"/>
    <w:qFormat/>
    <w:uiPriority w:val="0"/>
    <w:rPr>
      <w:rFonts w:hint="eastAsia" w:ascii="宋体" w:hAnsi="宋体" w:eastAsia="宋体" w:cs="宋体"/>
      <w:color w:val="auto"/>
      <w:sz w:val="22"/>
      <w:szCs w:val="22"/>
      <w:u w:val="none"/>
    </w:rPr>
  </w:style>
  <w:style w:type="character" w:customStyle="1" w:styleId="19">
    <w:name w:val="font231"/>
    <w:basedOn w:val="8"/>
    <w:qFormat/>
    <w:uiPriority w:val="0"/>
    <w:rPr>
      <w:rFonts w:hint="eastAsia" w:ascii="宋体" w:hAnsi="宋体" w:eastAsia="宋体" w:cs="宋体"/>
      <w:b/>
      <w:color w:val="auto"/>
      <w:sz w:val="18"/>
      <w:szCs w:val="18"/>
      <w:u w:val="none"/>
    </w:rPr>
  </w:style>
  <w:style w:type="character" w:customStyle="1" w:styleId="20">
    <w:name w:val="font221"/>
    <w:basedOn w:val="8"/>
    <w:qFormat/>
    <w:uiPriority w:val="0"/>
    <w:rPr>
      <w:rFonts w:hint="eastAsia" w:ascii="宋体" w:hAnsi="宋体" w:eastAsia="宋体" w:cs="宋体"/>
      <w:color w:val="auto"/>
      <w:sz w:val="18"/>
      <w:szCs w:val="18"/>
      <w:u w:val="none"/>
    </w:rPr>
  </w:style>
  <w:style w:type="character" w:customStyle="1" w:styleId="21">
    <w:name w:val="font211"/>
    <w:basedOn w:val="8"/>
    <w:qFormat/>
    <w:uiPriority w:val="0"/>
    <w:rPr>
      <w:rFonts w:hint="eastAsia" w:ascii="宋体" w:hAnsi="宋体" w:eastAsia="宋体" w:cs="宋体"/>
      <w:b/>
      <w:color w:val="auto"/>
      <w:sz w:val="22"/>
      <w:szCs w:val="22"/>
      <w:u w:val="none"/>
    </w:rPr>
  </w:style>
  <w:style w:type="character" w:customStyle="1" w:styleId="22">
    <w:name w:val="font201"/>
    <w:basedOn w:val="8"/>
    <w:qFormat/>
    <w:uiPriority w:val="0"/>
    <w:rPr>
      <w:rFonts w:hint="eastAsia" w:ascii="宋体" w:hAnsi="宋体" w:eastAsia="宋体" w:cs="宋体"/>
      <w:color w:val="auto"/>
      <w:sz w:val="22"/>
      <w:szCs w:val="22"/>
      <w:u w:val="none"/>
    </w:rPr>
  </w:style>
  <w:style w:type="character" w:customStyle="1" w:styleId="23">
    <w:name w:val="font161"/>
    <w:basedOn w:val="8"/>
    <w:qFormat/>
    <w:uiPriority w:val="0"/>
    <w:rPr>
      <w:rFonts w:hint="eastAsia" w:ascii="宋体" w:hAnsi="宋体" w:eastAsia="宋体" w:cs="宋体"/>
      <w:b/>
      <w:color w:val="auto"/>
      <w:sz w:val="22"/>
      <w:szCs w:val="22"/>
      <w:u w:val="none"/>
    </w:rPr>
  </w:style>
  <w:style w:type="character" w:customStyle="1" w:styleId="24">
    <w:name w:val="font101"/>
    <w:basedOn w:val="8"/>
    <w:qFormat/>
    <w:uiPriority w:val="0"/>
    <w:rPr>
      <w:rFonts w:hint="eastAsia" w:ascii="宋体" w:hAnsi="宋体" w:eastAsia="宋体" w:cs="宋体"/>
      <w:color w:val="FF0000"/>
      <w:sz w:val="22"/>
      <w:szCs w:val="22"/>
      <w:u w:val="none"/>
    </w:rPr>
  </w:style>
  <w:style w:type="character" w:customStyle="1" w:styleId="25">
    <w:name w:val="font61"/>
    <w:basedOn w:val="8"/>
    <w:qFormat/>
    <w:uiPriority w:val="0"/>
    <w:rPr>
      <w:rFonts w:hint="eastAsia" w:ascii="宋体" w:hAnsi="宋体" w:eastAsia="宋体" w:cs="宋体"/>
      <w:color w:val="auto"/>
      <w:sz w:val="18"/>
      <w:szCs w:val="18"/>
      <w:u w:val="none"/>
    </w:rPr>
  </w:style>
  <w:style w:type="character" w:customStyle="1" w:styleId="26">
    <w:name w:val="font131"/>
    <w:basedOn w:val="8"/>
    <w:qFormat/>
    <w:uiPriority w:val="0"/>
    <w:rPr>
      <w:rFonts w:hint="eastAsia" w:ascii="宋体" w:hAnsi="宋体" w:eastAsia="宋体" w:cs="宋体"/>
      <w:b/>
      <w:color w:val="FF0000"/>
      <w:sz w:val="18"/>
      <w:szCs w:val="18"/>
      <w:u w:val="none"/>
    </w:rPr>
  </w:style>
  <w:style w:type="character" w:customStyle="1" w:styleId="27">
    <w:name w:val="font91"/>
    <w:basedOn w:val="8"/>
    <w:qFormat/>
    <w:uiPriority w:val="0"/>
    <w:rPr>
      <w:rFonts w:hint="eastAsia" w:ascii="宋体" w:hAnsi="宋体" w:eastAsia="宋体" w:cs="宋体"/>
      <w:b/>
      <w:color w:val="auto"/>
      <w:sz w:val="18"/>
      <w:szCs w:val="18"/>
      <w:u w:val="none"/>
    </w:rPr>
  </w:style>
  <w:style w:type="character" w:customStyle="1" w:styleId="28">
    <w:name w:val="font251"/>
    <w:basedOn w:val="8"/>
    <w:qFormat/>
    <w:uiPriority w:val="0"/>
    <w:rPr>
      <w:rFonts w:hint="eastAsia" w:ascii="宋体" w:hAnsi="宋体" w:eastAsia="宋体" w:cs="宋体"/>
      <w:color w:val="FF0000"/>
      <w:sz w:val="22"/>
      <w:szCs w:val="22"/>
      <w:u w:val="none"/>
    </w:rPr>
  </w:style>
  <w:style w:type="character" w:customStyle="1" w:styleId="29">
    <w:name w:val="font241"/>
    <w:basedOn w:val="8"/>
    <w:qFormat/>
    <w:uiPriority w:val="0"/>
    <w:rPr>
      <w:rFonts w:hint="eastAsia" w:ascii="宋体" w:hAnsi="宋体" w:eastAsia="宋体" w:cs="宋体"/>
      <w:color w:val="auto"/>
      <w:sz w:val="22"/>
      <w:szCs w:val="22"/>
      <w:u w:val="none"/>
    </w:rPr>
  </w:style>
  <w:style w:type="character" w:customStyle="1" w:styleId="30">
    <w:name w:val="font261"/>
    <w:basedOn w:val="8"/>
    <w:qFormat/>
    <w:uiPriority w:val="0"/>
    <w:rPr>
      <w:rFonts w:hint="eastAsia" w:ascii="宋体" w:hAnsi="宋体" w:eastAsia="宋体" w:cs="宋体"/>
      <w:color w:val="auto"/>
      <w:sz w:val="22"/>
      <w:szCs w:val="22"/>
      <w:u w:val="none"/>
    </w:rPr>
  </w:style>
  <w:style w:type="character" w:customStyle="1" w:styleId="31">
    <w:name w:val="font141"/>
    <w:basedOn w:val="8"/>
    <w:qFormat/>
    <w:uiPriority w:val="0"/>
    <w:rPr>
      <w:rFonts w:hint="eastAsia" w:ascii="宋体" w:hAnsi="宋体" w:eastAsia="宋体" w:cs="宋体"/>
      <w:color w:val="FF0000"/>
      <w:sz w:val="22"/>
      <w:szCs w:val="22"/>
      <w:u w:val="none"/>
    </w:rPr>
  </w:style>
  <w:style w:type="character" w:customStyle="1" w:styleId="32">
    <w:name w:val="font271"/>
    <w:basedOn w:val="8"/>
    <w:qFormat/>
    <w:uiPriority w:val="0"/>
    <w:rPr>
      <w:rFonts w:hint="eastAsia" w:ascii="宋体" w:hAnsi="宋体" w:eastAsia="宋体" w:cs="宋体"/>
      <w:color w:val="auto"/>
      <w:sz w:val="22"/>
      <w:szCs w:val="22"/>
      <w:u w:val="none"/>
    </w:rPr>
  </w:style>
  <w:style w:type="character" w:customStyle="1" w:styleId="33">
    <w:name w:val="font01"/>
    <w:basedOn w:val="8"/>
    <w:qFormat/>
    <w:uiPriority w:val="0"/>
    <w:rPr>
      <w:rFonts w:hint="eastAsia" w:ascii="宋体" w:hAnsi="宋体" w:eastAsia="宋体" w:cs="宋体"/>
      <w:color w:val="auto"/>
      <w:sz w:val="24"/>
      <w:szCs w:val="24"/>
      <w:u w:val="none"/>
    </w:rPr>
  </w:style>
  <w:style w:type="paragraph" w:customStyle="1" w:styleId="34">
    <w:name w:val="p0"/>
    <w:basedOn w:val="1"/>
    <w:qFormat/>
    <w:uiPriority w:val="99"/>
    <w:pPr>
      <w:widowControl/>
      <w:ind w:firstLine="360"/>
      <w:jc w:val="left"/>
    </w:pPr>
    <w:rPr>
      <w:rFonts w:ascii="Calibri" w:hAnsi="Calibri" w:eastAsia="宋体" w:cs="宋体"/>
      <w:kern w:val="0"/>
      <w:sz w:val="22"/>
      <w:szCs w:val="21"/>
      <w:lang w:eastAsia="en-US"/>
    </w:rPr>
  </w:style>
  <w:style w:type="character" w:customStyle="1" w:styleId="35">
    <w:name w:val="批注文字 字符"/>
    <w:basedOn w:val="8"/>
    <w:link w:val="2"/>
    <w:semiHidden/>
    <w:qFormat/>
    <w:uiPriority w:val="99"/>
    <w:rPr>
      <w:kern w:val="2"/>
      <w:sz w:val="21"/>
      <w:szCs w:val="22"/>
    </w:rPr>
  </w:style>
  <w:style w:type="character" w:customStyle="1" w:styleId="36">
    <w:name w:val="批注主题 字符"/>
    <w:basedOn w:val="35"/>
    <w:link w:val="6"/>
    <w:semiHidden/>
    <w:qFormat/>
    <w:uiPriority w:val="99"/>
    <w:rPr>
      <w:b/>
      <w:bCs/>
      <w:kern w:val="2"/>
      <w:sz w:val="21"/>
      <w:szCs w:val="22"/>
    </w:rPr>
  </w:style>
  <w:style w:type="character" w:customStyle="1" w:styleId="37">
    <w:name w:val="批注框文本 字符"/>
    <w:basedOn w:val="8"/>
    <w:link w:val="3"/>
    <w:semiHidden/>
    <w:qFormat/>
    <w:uiPriority w:val="99"/>
    <w:rPr>
      <w:kern w:val="2"/>
      <w:sz w:val="18"/>
      <w:szCs w:val="18"/>
    </w:rPr>
  </w:style>
  <w:style w:type="character" w:customStyle="1" w:styleId="38">
    <w:name w:val="font111"/>
    <w:qFormat/>
    <w:uiPriority w:val="0"/>
    <w:rPr>
      <w:rFonts w:hint="eastAsia" w:ascii="宋体" w:hAnsi="宋体" w:eastAsia="宋体" w:cs="宋体"/>
      <w:color w:val="auto"/>
      <w:sz w:val="18"/>
      <w:szCs w:val="18"/>
      <w:u w:val="none"/>
    </w:rPr>
  </w:style>
  <w:style w:type="character" w:customStyle="1" w:styleId="39">
    <w:name w:val="font121"/>
    <w:qFormat/>
    <w:uiPriority w:val="0"/>
    <w:rPr>
      <w:rFonts w:hint="default" w:ascii="Times New Roman" w:hAnsi="Times New Roman" w:cs="Times New Roman"/>
      <w:color w:val="auto"/>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1503</Words>
  <Characters>1728</Characters>
  <Lines>54</Lines>
  <Paragraphs>15</Paragraphs>
  <TotalTime>23</TotalTime>
  <ScaleCrop>false</ScaleCrop>
  <LinksUpToDate>false</LinksUpToDate>
  <CharactersWithSpaces>1746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2020-09-28T01:47:00Z</dcterms:created>
  <dc:creator>Administrator</dc:creator>
  <cp:lastModifiedBy>龚京琳</cp:lastModifiedBy>
  <cp:lastPrinted>2023-11-09T07:44:00Z</cp:lastPrinted>
  <dcterms:modified xsi:type="dcterms:W3CDTF">2023-11-10T01:42:40Z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2430EFCDC1424A87838A562190A18E17</vt:lpwstr>
  </property>
</Properties>
</file>