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VvWL0wAAAAYBAAAPAAAAAAAAAAEAIAAAACIAAABkcnMvZG93bnJldi54bWxQ&#10;SwECFAAUAAAACACHTuJApXY4LfwBAADnAwAADgAAAAAAAAABACAAAAAiAQAAZHJzL2Uyb0RvYy54&#10;bWxQSwUGAAAAAAYABgBZAQAAkAUAAAAA&#10;">
                <v:fill on="f" focussize="0,0"/>
                <v:stroke weight="2pt" color="#FF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CvulbWAAAABgEAAA8AAAAAAAAAAQAgAAAAIgAAAGRycy9kb3ducmV2Lnht&#10;bFBLAQIUABQAAAAIAIdO4kDAgydh+wEAAOUDAAAOAAAAAAAAAAEAIAAAACUBAABkcnMvZTJvRG9j&#10;LnhtbFBLBQYAAAAABgAGAFkBAACSBQAAAAA=&#10;">
                <v:fill on="f" focussize="0,0"/>
                <v:stroke color="#FF0000" joinstyle="round"/>
                <v:imagedata o:title=""/>
                <o:lock v:ext="edit" aspectratio="f"/>
              </v:line>
            </w:pict>
          </mc:Fallback>
        </mc:AlternateContent>
      </w:r>
    </w:p>
    <w:p>
      <w:pPr>
        <w:wordWrap w:val="0"/>
        <w:jc w:val="right"/>
        <w:rPr>
          <w:rFonts w:ascii="仿宋_GB2312" w:eastAsia="仿宋_GB2312"/>
          <w:sz w:val="32"/>
          <w:szCs w:val="32"/>
        </w:rPr>
      </w:pPr>
      <w:r>
        <w:rPr>
          <w:rFonts w:hint="eastAsia" w:ascii="仿宋_GB2312" w:eastAsia="仿宋_GB2312"/>
          <w:sz w:val="32"/>
          <w:szCs w:val="32"/>
        </w:rPr>
        <w:t>南大教函</w:t>
      </w:r>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rPr>
        <w:t>3〕</w:t>
      </w:r>
      <w:r>
        <w:rPr>
          <w:rFonts w:hint="eastAsia" w:ascii="仿宋_GB2312" w:hAnsi="宋体" w:eastAsia="仿宋_GB2312"/>
          <w:sz w:val="32"/>
          <w:szCs w:val="32"/>
          <w:lang w:val="en-US" w:eastAsia="zh-CN"/>
        </w:rPr>
        <w:t>170</w:t>
      </w:r>
      <w:r>
        <w:rPr>
          <w:rFonts w:hint="eastAsia" w:ascii="仿宋_GB2312" w:hAnsi="宋体" w:eastAsia="仿宋_GB2312"/>
          <w:sz w:val="32"/>
          <w:szCs w:val="32"/>
        </w:rPr>
        <w:t>号</w:t>
      </w:r>
    </w:p>
    <w:p>
      <w:pPr>
        <w:rPr>
          <w:rFonts w:ascii="宋体" w:hAnsi="宋体"/>
          <w:b/>
          <w:sz w:val="36"/>
          <w:szCs w:val="36"/>
        </w:rPr>
      </w:pPr>
      <w:r>
        <w:rPr>
          <w:rFonts w:hint="eastAsia" w:ascii="宋体" w:hAnsi="宋体"/>
          <w:b/>
          <w:sz w:val="36"/>
          <w:szCs w:val="36"/>
        </w:rPr>
        <w:t>关于开展南昌大学2023年本科专业综合评估工作的通知</w:t>
      </w:r>
    </w:p>
    <w:p>
      <w:pPr>
        <w:rPr>
          <w:rFonts w:ascii="仿宋" w:hAnsi="仿宋" w:eastAsia="仿宋"/>
          <w:b/>
          <w:sz w:val="18"/>
          <w:szCs w:val="18"/>
        </w:rPr>
      </w:pPr>
    </w:p>
    <w:p>
      <w:pPr>
        <w:spacing w:line="540" w:lineRule="exact"/>
        <w:rPr>
          <w:rFonts w:ascii="仿宋" w:hAnsi="仿宋" w:eastAsia="仿宋"/>
          <w:sz w:val="32"/>
          <w:szCs w:val="32"/>
        </w:rPr>
      </w:pPr>
      <w:r>
        <w:rPr>
          <w:rFonts w:hint="eastAsia" w:ascii="仿宋" w:hAnsi="仿宋" w:eastAsia="仿宋"/>
          <w:sz w:val="32"/>
          <w:szCs w:val="32"/>
        </w:rPr>
        <w:t>各学院：</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为贯彻</w:t>
      </w:r>
      <w:r>
        <w:rPr>
          <w:rFonts w:hint="eastAsia" w:ascii="仿宋_GB2312" w:hAnsi="黑体" w:eastAsia="仿宋_GB2312"/>
          <w:sz w:val="32"/>
          <w:szCs w:val="32"/>
        </w:rPr>
        <w:t>落实《关于普通高等学校本科教学评估工作的意见》《深化新时代教育评价改革总体方案》等文件精神，进一步</w:t>
      </w:r>
      <w:r>
        <w:rPr>
          <w:rFonts w:hint="eastAsia" w:ascii="仿宋" w:hAnsi="仿宋" w:eastAsia="仿宋"/>
          <w:sz w:val="32"/>
          <w:szCs w:val="32"/>
        </w:rPr>
        <w:t>加强本科一流专业建设，不断提高专业办学水平和人才培养质量，根据《南昌大学本科专业综合评估工作实施办法（修订）》（南大教函〔2020〕67号）要求，学校决定开展2023年本科专业综合评估工作。现将具体事项通知如下。</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一、工作时间与程序</w:t>
      </w:r>
    </w:p>
    <w:p>
      <w:pPr>
        <w:widowControl/>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1.12月1-15日，系统信息填报与审核。</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12月1日9:00开通本科专业综合评估系统。系统网址为</w:t>
      </w:r>
      <w:r>
        <w:rPr>
          <w:rFonts w:ascii="Times New Roman" w:hAnsi="Times New Roman" w:eastAsia="仿宋"/>
          <w:sz w:val="30"/>
          <w:szCs w:val="30"/>
        </w:rPr>
        <w:t>http://zypt.neusoft.edu.cn/ncusdb</w:t>
      </w:r>
      <w:r>
        <w:rPr>
          <w:rFonts w:hint="eastAsia" w:ascii="仿宋" w:hAnsi="仿宋" w:eastAsia="仿宋"/>
          <w:sz w:val="32"/>
          <w:szCs w:val="32"/>
        </w:rPr>
        <w:t>，专业用户名:10403_专业代码（用户名中间为下划线）。若遇登录问题，可致电83969103咨询。</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12月1日9:00-12月13日17:00，学院各专业登陆“南昌大学本科专业综合评估信息填报系统”，填报本科专业相关信息。</w:t>
      </w:r>
    </w:p>
    <w:p>
      <w:pPr>
        <w:widowControl/>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12月13日17:00至15日17:00，学院审核各专业信息填报情况。</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12月15日17:00系统将准时关闭。</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2.12月22日前，学校完善评估系统。</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3.12月27日前，学校组织专家完成定性指标评审。</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4.12月31日前，完成综合评估、公示评估结果。评估结果公示无异议后报评估工作领导小组审定。</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二、工作要求</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1.各学院要充分认识到本科专业综合评估工作的重要意义，按照通知要求认真组织并落实好本学院本科专业综合评估工作。</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2.各学院应加强领导，精心组织，实事求是填报材料，所填写的材料必须数据准确可靠、有据可查。学院为材料真实性的责任主体，各专业负责人为材料真实性的具体负责人。</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3.各学院应以本科专业综合评估为契机，结合“一流专业”建设目标要求，认真查找存在的问题和短板，加强专业内涵建设，以评促建、以评促改、以评促强，切实提高人才培养质量。</w:t>
      </w: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工作联系人：王珊；联系电话：83969103；</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办公地点：前湖校区办公楼603室</w:t>
      </w: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p>
    <w:p>
      <w:pPr>
        <w:spacing w:line="540" w:lineRule="exact"/>
        <w:jc w:val="left"/>
        <w:rPr>
          <w:rFonts w:ascii="仿宋" w:hAnsi="仿宋" w:eastAsia="仿宋"/>
          <w:sz w:val="32"/>
          <w:szCs w:val="32"/>
        </w:rPr>
      </w:pPr>
      <w:r>
        <w:rPr>
          <w:rFonts w:hint="eastAsia" w:ascii="仿宋" w:hAnsi="仿宋" w:eastAsia="仿宋"/>
          <w:sz w:val="32"/>
          <w:szCs w:val="32"/>
        </w:rPr>
        <w:t>附件：2023年南昌大学本科专业综合评估指标体系</w:t>
      </w: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 xml:space="preserve"> </w:t>
      </w:r>
    </w:p>
    <w:p>
      <w:pPr>
        <w:spacing w:line="540" w:lineRule="exact"/>
        <w:ind w:firstLine="2560" w:firstLineChars="800"/>
        <w:rPr>
          <w:rFonts w:ascii="仿宋" w:hAnsi="仿宋" w:eastAsia="仿宋"/>
          <w:sz w:val="32"/>
          <w:szCs w:val="32"/>
        </w:rPr>
      </w:pPr>
      <w:r>
        <w:rPr>
          <w:rFonts w:hint="eastAsia" w:ascii="仿宋" w:hAnsi="仿宋" w:eastAsia="仿宋"/>
          <w:sz w:val="32"/>
          <w:szCs w:val="32"/>
        </w:rPr>
        <w:t>南昌大学本科教学评估工作领导小组办公室</w:t>
      </w:r>
    </w:p>
    <w:p>
      <w:pPr>
        <w:spacing w:line="540" w:lineRule="exact"/>
        <w:ind w:firstLine="4480" w:firstLineChars="1400"/>
        <w:rPr>
          <w:rFonts w:ascii="仿宋" w:hAnsi="仿宋" w:eastAsia="仿宋"/>
          <w:sz w:val="32"/>
          <w:szCs w:val="32"/>
        </w:rPr>
      </w:pPr>
      <w:r>
        <w:rPr>
          <w:rFonts w:hint="eastAsia" w:ascii="仿宋" w:hAnsi="仿宋" w:eastAsia="仿宋"/>
          <w:sz w:val="32"/>
          <w:szCs w:val="32"/>
        </w:rPr>
        <w:t>（教务处代）</w:t>
      </w:r>
    </w:p>
    <w:p>
      <w:pPr>
        <w:spacing w:line="540" w:lineRule="exact"/>
        <w:ind w:firstLine="4160" w:firstLineChars="1300"/>
        <w:rPr>
          <w:rFonts w:ascii="仿宋" w:hAnsi="仿宋" w:eastAsia="仿宋"/>
          <w:sz w:val="32"/>
          <w:szCs w:val="32"/>
        </w:rPr>
      </w:pPr>
      <w:bookmarkStart w:id="0" w:name="_GoBack"/>
      <w:bookmarkEnd w:id="0"/>
      <w:r>
        <w:rPr>
          <w:rFonts w:hint="eastAsia" w:ascii="仿宋" w:hAnsi="仿宋" w:eastAsia="仿宋"/>
          <w:sz w:val="32"/>
          <w:szCs w:val="32"/>
        </w:rPr>
        <w:t>2023年11月30日</w:t>
      </w:r>
    </w:p>
    <w:tbl>
      <w:tblPr>
        <w:tblStyle w:val="4"/>
        <w:tblpPr w:leftFromText="180" w:rightFromText="180" w:vertAnchor="text" w:horzAnchor="page" w:tblpX="1791" w:tblpY="1177"/>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 xml:space="preserve">  20</w:t>
            </w:r>
            <w:r>
              <w:rPr>
                <w:rFonts w:ascii="仿宋_GB2312" w:eastAsia="仿宋_GB2312"/>
                <w:sz w:val="32"/>
                <w:szCs w:val="32"/>
                <w:lang w:val="zh-CN"/>
              </w:rPr>
              <w:t>2</w:t>
            </w:r>
            <w:r>
              <w:rPr>
                <w:rFonts w:hint="eastAsia" w:ascii="仿宋_GB2312" w:eastAsia="仿宋_GB2312"/>
                <w:sz w:val="32"/>
                <w:szCs w:val="32"/>
              </w:rPr>
              <w:t>3</w:t>
            </w:r>
            <w:r>
              <w:rPr>
                <w:rFonts w:hint="eastAsia" w:ascii="仿宋_GB2312" w:eastAsia="仿宋_GB2312"/>
                <w:sz w:val="32"/>
                <w:szCs w:val="32"/>
                <w:lang w:val="zh-CN"/>
              </w:rPr>
              <w:t>年1</w:t>
            </w:r>
            <w:r>
              <w:rPr>
                <w:rFonts w:hint="eastAsia" w:ascii="仿宋_GB2312" w:eastAsia="仿宋_GB2312"/>
                <w:sz w:val="32"/>
                <w:szCs w:val="32"/>
              </w:rPr>
              <w:t>1</w:t>
            </w:r>
            <w:r>
              <w:rPr>
                <w:rFonts w:hint="eastAsia" w:ascii="仿宋_GB2312" w:eastAsia="仿宋_GB2312"/>
                <w:sz w:val="32"/>
                <w:szCs w:val="32"/>
                <w:lang w:val="zh-CN"/>
              </w:rPr>
              <w:t>月</w:t>
            </w:r>
            <w:r>
              <w:rPr>
                <w:rFonts w:hint="eastAsia" w:ascii="仿宋_GB2312" w:eastAsia="仿宋_GB2312"/>
                <w:sz w:val="32"/>
                <w:szCs w:val="32"/>
              </w:rPr>
              <w:t>30</w:t>
            </w:r>
            <w:r>
              <w:rPr>
                <w:rFonts w:hint="eastAsia" w:ascii="仿宋_GB2312" w:eastAsia="仿宋_GB2312"/>
                <w:sz w:val="32"/>
                <w:szCs w:val="32"/>
                <w:lang w:val="zh-CN"/>
              </w:rPr>
              <w:t>日印发</w:t>
            </w:r>
          </w:p>
        </w:tc>
      </w:tr>
    </w:tbl>
    <w:p>
      <w:pPr>
        <w:spacing w:line="560" w:lineRule="exact"/>
        <w:rPr>
          <w:rFonts w:ascii="宋体" w:hAnsi="宋体" w:cs="宋体"/>
          <w:b/>
          <w:bCs/>
          <w:sz w:val="32"/>
          <w:szCs w:val="32"/>
        </w:rPr>
      </w:pPr>
    </w:p>
    <w:p>
      <w:pPr>
        <w:spacing w:line="560" w:lineRule="exact"/>
        <w:rPr>
          <w:rFonts w:ascii="宋体" w:hAnsi="宋体" w:cs="宋体"/>
          <w:b/>
          <w:bCs/>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附件：</w:t>
      </w:r>
    </w:p>
    <w:p>
      <w:pPr>
        <w:spacing w:line="560" w:lineRule="exact"/>
        <w:jc w:val="center"/>
        <w:rPr>
          <w:rFonts w:ascii="宋体" w:hAnsi="宋体" w:cs="宋体"/>
          <w:b/>
          <w:bCs/>
          <w:sz w:val="32"/>
          <w:szCs w:val="32"/>
        </w:rPr>
      </w:pPr>
      <w:r>
        <w:rPr>
          <w:rFonts w:hint="eastAsia" w:ascii="宋体" w:hAnsi="宋体" w:cs="宋体"/>
          <w:b/>
          <w:bCs/>
          <w:sz w:val="32"/>
          <w:szCs w:val="32"/>
        </w:rPr>
        <w:t>2023年南昌大学本科专业综合评估指标体系</w:t>
      </w:r>
    </w:p>
    <w:tbl>
      <w:tblPr>
        <w:tblStyle w:val="4"/>
        <w:tblW w:w="5321" w:type="pct"/>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57" w:type="dxa"/>
          <w:bottom w:w="40" w:type="dxa"/>
          <w:right w:w="57" w:type="dxa"/>
        </w:tblCellMar>
      </w:tblPr>
      <w:tblGrid>
        <w:gridCol w:w="1084"/>
        <w:gridCol w:w="1708"/>
        <w:gridCol w:w="2354"/>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472" w:hRule="atLeast"/>
          <w:tblHeader/>
        </w:trPr>
        <w:tc>
          <w:tcPr>
            <w:tcW w:w="561" w:type="pct"/>
            <w:vMerge w:val="restart"/>
            <w:vAlign w:val="center"/>
          </w:tcPr>
          <w:p>
            <w:pPr>
              <w:snapToGrid w:val="0"/>
              <w:jc w:val="center"/>
              <w:rPr>
                <w:b/>
                <w:szCs w:val="21"/>
              </w:rPr>
            </w:pPr>
            <w:r>
              <w:rPr>
                <w:rFonts w:hint="eastAsia"/>
                <w:b/>
                <w:szCs w:val="21"/>
              </w:rPr>
              <w:t>一级</w:t>
            </w:r>
          </w:p>
          <w:p>
            <w:pPr>
              <w:snapToGrid w:val="0"/>
              <w:jc w:val="center"/>
              <w:rPr>
                <w:b/>
                <w:szCs w:val="21"/>
              </w:rPr>
            </w:pPr>
            <w:r>
              <w:rPr>
                <w:rFonts w:hint="eastAsia"/>
                <w:b/>
                <w:szCs w:val="21"/>
              </w:rPr>
              <w:t>指标</w:t>
            </w:r>
          </w:p>
        </w:tc>
        <w:tc>
          <w:tcPr>
            <w:tcW w:w="884" w:type="pct"/>
            <w:vMerge w:val="restart"/>
            <w:vAlign w:val="center"/>
          </w:tcPr>
          <w:p>
            <w:pPr>
              <w:snapToGrid w:val="0"/>
              <w:jc w:val="center"/>
              <w:rPr>
                <w:b/>
                <w:szCs w:val="21"/>
              </w:rPr>
            </w:pPr>
            <w:r>
              <w:rPr>
                <w:rFonts w:hint="eastAsia"/>
                <w:b/>
                <w:szCs w:val="21"/>
              </w:rPr>
              <w:t>二级</w:t>
            </w:r>
          </w:p>
          <w:p>
            <w:pPr>
              <w:snapToGrid w:val="0"/>
              <w:jc w:val="center"/>
              <w:rPr>
                <w:b/>
                <w:szCs w:val="21"/>
              </w:rPr>
            </w:pPr>
            <w:r>
              <w:rPr>
                <w:rFonts w:hint="eastAsia"/>
                <w:b/>
                <w:szCs w:val="21"/>
              </w:rPr>
              <w:t>指标</w:t>
            </w:r>
          </w:p>
        </w:tc>
        <w:tc>
          <w:tcPr>
            <w:tcW w:w="1219" w:type="pct"/>
            <w:vMerge w:val="restart"/>
            <w:vAlign w:val="center"/>
          </w:tcPr>
          <w:p>
            <w:pPr>
              <w:snapToGrid w:val="0"/>
              <w:jc w:val="center"/>
              <w:rPr>
                <w:b/>
                <w:sz w:val="22"/>
              </w:rPr>
            </w:pPr>
            <w:r>
              <w:rPr>
                <w:rFonts w:hint="eastAsia"/>
                <w:b/>
                <w:sz w:val="22"/>
              </w:rPr>
              <w:t>主要观测点</w:t>
            </w:r>
          </w:p>
        </w:tc>
        <w:tc>
          <w:tcPr>
            <w:tcW w:w="2335" w:type="pct"/>
            <w:vMerge w:val="restart"/>
            <w:vAlign w:val="center"/>
          </w:tcPr>
          <w:p>
            <w:pPr>
              <w:snapToGrid w:val="0"/>
              <w:jc w:val="center"/>
              <w:rPr>
                <w:b/>
                <w:sz w:val="22"/>
              </w:rPr>
            </w:pPr>
            <w:r>
              <w:rPr>
                <w:rFonts w:hint="eastAsia"/>
                <w:b/>
                <w:sz w:val="22"/>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12" w:hRule="atLeast"/>
          <w:tblHeader/>
        </w:trPr>
        <w:tc>
          <w:tcPr>
            <w:tcW w:w="561" w:type="pct"/>
            <w:vMerge w:val="continue"/>
            <w:vAlign w:val="center"/>
          </w:tcPr>
          <w:p>
            <w:pPr>
              <w:snapToGrid w:val="0"/>
              <w:jc w:val="center"/>
              <w:rPr>
                <w:b/>
                <w:szCs w:val="21"/>
              </w:rPr>
            </w:pPr>
          </w:p>
        </w:tc>
        <w:tc>
          <w:tcPr>
            <w:tcW w:w="884" w:type="pct"/>
            <w:vMerge w:val="continue"/>
            <w:vAlign w:val="center"/>
          </w:tcPr>
          <w:p>
            <w:pPr>
              <w:snapToGrid w:val="0"/>
              <w:jc w:val="center"/>
              <w:rPr>
                <w:b/>
                <w:szCs w:val="21"/>
              </w:rPr>
            </w:pPr>
          </w:p>
        </w:tc>
        <w:tc>
          <w:tcPr>
            <w:tcW w:w="1219" w:type="pct"/>
            <w:vMerge w:val="continue"/>
            <w:vAlign w:val="center"/>
          </w:tcPr>
          <w:p>
            <w:pPr>
              <w:snapToGrid w:val="0"/>
              <w:jc w:val="center"/>
              <w:rPr>
                <w:b/>
                <w:sz w:val="22"/>
              </w:rPr>
            </w:pPr>
          </w:p>
        </w:tc>
        <w:tc>
          <w:tcPr>
            <w:tcW w:w="2335" w:type="pct"/>
            <w:vMerge w:val="continue"/>
            <w:vAlign w:val="center"/>
          </w:tcPr>
          <w:p>
            <w:pPr>
              <w:snapToGrid w:val="0"/>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restart"/>
            <w:vAlign w:val="center"/>
          </w:tcPr>
          <w:p>
            <w:pPr>
              <w:snapToGrid w:val="0"/>
              <w:jc w:val="left"/>
              <w:rPr>
                <w:rFonts w:ascii="宋体" w:hAnsi="宋体" w:cs="宋体"/>
              </w:rPr>
            </w:pPr>
            <w:r>
              <w:rPr>
                <w:rFonts w:hint="eastAsia" w:ascii="宋体" w:hAnsi="宋体" w:cs="宋体"/>
              </w:rPr>
              <w:t>1.立德树人（0.05）</w:t>
            </w:r>
          </w:p>
        </w:tc>
        <w:tc>
          <w:tcPr>
            <w:tcW w:w="884" w:type="pct"/>
            <w:vMerge w:val="restart"/>
            <w:vAlign w:val="center"/>
          </w:tcPr>
          <w:p>
            <w:pPr>
              <w:snapToGrid w:val="0"/>
              <w:jc w:val="left"/>
              <w:rPr>
                <w:rFonts w:ascii="宋体" w:hAnsi="宋体" w:cs="宋体"/>
              </w:rPr>
            </w:pPr>
            <w:r>
              <w:rPr>
                <w:rFonts w:hint="eastAsia" w:ascii="宋体" w:hAnsi="宋体" w:cs="宋体"/>
              </w:rPr>
              <w:t>1.1思想政治教育开展情况及成效（1.0）</w:t>
            </w:r>
          </w:p>
        </w:tc>
        <w:tc>
          <w:tcPr>
            <w:tcW w:w="1219" w:type="pct"/>
            <w:vAlign w:val="center"/>
          </w:tcPr>
          <w:p>
            <w:pPr>
              <w:snapToGrid w:val="0"/>
              <w:jc w:val="left"/>
              <w:rPr>
                <w:rFonts w:ascii="宋体" w:hAnsi="宋体" w:cs="宋体"/>
              </w:rPr>
            </w:pPr>
            <w:r>
              <w:rPr>
                <w:rFonts w:hint="eastAsia" w:ascii="宋体" w:hAnsi="宋体" w:cs="宋体"/>
              </w:rPr>
              <w:t>1.1.1思政教育开展情况（0.4）</w:t>
            </w:r>
          </w:p>
        </w:tc>
        <w:tc>
          <w:tcPr>
            <w:tcW w:w="2335" w:type="pct"/>
            <w:vAlign w:val="center"/>
          </w:tcPr>
          <w:p>
            <w:pPr>
              <w:snapToGrid w:val="0"/>
              <w:jc w:val="left"/>
              <w:rPr>
                <w:rFonts w:ascii="宋体" w:hAnsi="宋体" w:cs="宋体"/>
              </w:rPr>
            </w:pPr>
            <w:r>
              <w:rPr>
                <w:rFonts w:hint="eastAsia" w:ascii="宋体" w:hAnsi="宋体" w:cs="宋体"/>
              </w:rPr>
              <w:t>考察专业思想政治工作体系建设和“三全育人”工作格局建立情况；近四年思政教育投入情况（用于学生思政教育的专项经费）；职业道德与职业伦理教育开展情况；课程思政与思政课的协同性，课程思政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1.1.2课程思政情况（0.3）</w:t>
            </w:r>
          </w:p>
        </w:tc>
        <w:tc>
          <w:tcPr>
            <w:tcW w:w="2335" w:type="pct"/>
            <w:vAlign w:val="center"/>
          </w:tcPr>
          <w:p>
            <w:pPr>
              <w:snapToGrid w:val="0"/>
              <w:jc w:val="left"/>
              <w:rPr>
                <w:rFonts w:ascii="宋体" w:hAnsi="宋体" w:cs="宋体"/>
              </w:rPr>
            </w:pPr>
            <w:r>
              <w:rPr>
                <w:rFonts w:hint="eastAsia" w:ascii="宋体" w:hAnsi="宋体" w:cs="宋体"/>
              </w:rPr>
              <w:t>课程思政成效，列举5门有代表性的专业课课程思政做法及成效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1.1.3学生“四自”教育（0.3）</w:t>
            </w:r>
          </w:p>
        </w:tc>
        <w:tc>
          <w:tcPr>
            <w:tcW w:w="2335" w:type="pct"/>
            <w:vAlign w:val="center"/>
          </w:tcPr>
          <w:p>
            <w:pPr>
              <w:snapToGrid w:val="0"/>
              <w:jc w:val="left"/>
              <w:rPr>
                <w:rFonts w:ascii="宋体" w:hAnsi="宋体" w:cs="宋体"/>
              </w:rPr>
            </w:pPr>
            <w:r>
              <w:rPr>
                <w:rFonts w:hint="eastAsia" w:ascii="宋体" w:hAnsi="宋体" w:cs="宋体"/>
              </w:rPr>
              <w:t>学生自我管理、自我服务、自我教育、自我监督开展情况及成效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restart"/>
            <w:vAlign w:val="center"/>
          </w:tcPr>
          <w:p>
            <w:pPr>
              <w:snapToGrid w:val="0"/>
              <w:jc w:val="left"/>
              <w:rPr>
                <w:rFonts w:ascii="宋体" w:hAnsi="宋体" w:cs="宋体"/>
              </w:rPr>
            </w:pPr>
            <w:r>
              <w:rPr>
                <w:rFonts w:hint="eastAsia" w:ascii="宋体" w:hAnsi="宋体" w:cs="宋体"/>
              </w:rPr>
              <w:t>2.培养模式（0.1）</w:t>
            </w:r>
          </w:p>
        </w:tc>
        <w:tc>
          <w:tcPr>
            <w:tcW w:w="884" w:type="pct"/>
            <w:vMerge w:val="restart"/>
            <w:vAlign w:val="center"/>
          </w:tcPr>
          <w:p>
            <w:pPr>
              <w:snapToGrid w:val="0"/>
              <w:jc w:val="left"/>
              <w:rPr>
                <w:rFonts w:ascii="宋体" w:hAnsi="宋体" w:cs="宋体"/>
              </w:rPr>
            </w:pPr>
            <w:r>
              <w:rPr>
                <w:rFonts w:hint="eastAsia" w:ascii="宋体" w:hAnsi="宋体" w:cs="宋体"/>
              </w:rPr>
              <w:t>2.1培养方案（0.6）</w:t>
            </w:r>
          </w:p>
        </w:tc>
        <w:tc>
          <w:tcPr>
            <w:tcW w:w="1219" w:type="pct"/>
            <w:vAlign w:val="center"/>
          </w:tcPr>
          <w:p>
            <w:pPr>
              <w:snapToGrid w:val="0"/>
              <w:jc w:val="left"/>
              <w:rPr>
                <w:rFonts w:ascii="宋体" w:hAnsi="宋体" w:cs="宋体"/>
              </w:rPr>
            </w:pPr>
            <w:r>
              <w:rPr>
                <w:rFonts w:hint="eastAsia" w:ascii="宋体" w:hAnsi="宋体" w:cs="宋体"/>
              </w:rPr>
              <w:t>2.1.1专业定位与培养目标（0.2）</w:t>
            </w:r>
          </w:p>
        </w:tc>
        <w:tc>
          <w:tcPr>
            <w:tcW w:w="2335" w:type="pct"/>
            <w:vAlign w:val="center"/>
          </w:tcPr>
          <w:p>
            <w:pPr>
              <w:snapToGrid w:val="0"/>
              <w:jc w:val="left"/>
              <w:rPr>
                <w:rFonts w:ascii="宋体" w:hAnsi="宋体" w:cs="宋体"/>
              </w:rPr>
            </w:pPr>
            <w:r>
              <w:rPr>
                <w:rFonts w:hint="eastAsia" w:ascii="宋体" w:hAnsi="宋体" w:cs="宋体"/>
              </w:rPr>
              <w:t>考察专业定位与经济社会发展需求、行业企业发展需求、学校定位的契合度；考察专业培养目标适合度，以及培养目标与学校人才培养总目标的吻合度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2.1.2毕业要求（0.2）</w:t>
            </w:r>
          </w:p>
        </w:tc>
        <w:tc>
          <w:tcPr>
            <w:tcW w:w="2335" w:type="pct"/>
            <w:vAlign w:val="center"/>
          </w:tcPr>
          <w:p>
            <w:pPr>
              <w:snapToGrid w:val="0"/>
              <w:jc w:val="left"/>
              <w:rPr>
                <w:rFonts w:ascii="宋体" w:hAnsi="宋体" w:cs="宋体"/>
              </w:rPr>
            </w:pPr>
            <w:r>
              <w:rPr>
                <w:rFonts w:hint="eastAsia" w:ascii="宋体" w:hAnsi="宋体" w:cs="宋体"/>
              </w:rPr>
              <w:t>考察毕业要求对培养目标的支撑情况</w:t>
            </w:r>
          </w:p>
        </w:tc>
      </w:tr>
      <w:tr>
        <w:tblPrEx>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2.1.3课程体系（0.4）</w:t>
            </w:r>
          </w:p>
        </w:tc>
        <w:tc>
          <w:tcPr>
            <w:tcW w:w="2335" w:type="pct"/>
            <w:vAlign w:val="center"/>
          </w:tcPr>
          <w:p>
            <w:pPr>
              <w:snapToGrid w:val="0"/>
              <w:jc w:val="left"/>
              <w:rPr>
                <w:rFonts w:ascii="宋体" w:hAnsi="宋体" w:cs="宋体"/>
              </w:rPr>
            </w:pPr>
            <w:r>
              <w:rPr>
                <w:rFonts w:hint="eastAsia" w:ascii="宋体" w:hAnsi="宋体" w:cs="宋体"/>
              </w:rPr>
              <w:t>考察课程体系对毕业要求的支撑情况，以及贯彻“四新”专业要求、落实“德智体美劳”五育并举要求的情况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2.1.4教学大纲（0.2）</w:t>
            </w:r>
          </w:p>
        </w:tc>
        <w:tc>
          <w:tcPr>
            <w:tcW w:w="2335" w:type="pct"/>
          </w:tcPr>
          <w:p>
            <w:pPr>
              <w:snapToGrid w:val="0"/>
              <w:jc w:val="left"/>
              <w:rPr>
                <w:rFonts w:ascii="宋体" w:hAnsi="宋体" w:cs="宋体"/>
              </w:rPr>
            </w:pPr>
            <w:r>
              <w:rPr>
                <w:rFonts w:hint="eastAsia" w:ascii="宋体" w:hAnsi="宋体" w:cs="宋体"/>
              </w:rPr>
              <w:t>考察专业课程教学设计对能力培养的支撑情况，落实课程思政情况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2.2协同育人（0.2）</w:t>
            </w:r>
          </w:p>
        </w:tc>
        <w:tc>
          <w:tcPr>
            <w:tcW w:w="1219" w:type="pct"/>
            <w:vAlign w:val="center"/>
          </w:tcPr>
          <w:p>
            <w:pPr>
              <w:snapToGrid w:val="0"/>
              <w:jc w:val="left"/>
              <w:rPr>
                <w:rFonts w:ascii="宋体" w:hAnsi="宋体" w:cs="宋体"/>
              </w:rPr>
            </w:pPr>
            <w:r>
              <w:rPr>
                <w:rFonts w:hint="eastAsia" w:ascii="宋体" w:hAnsi="宋体" w:cs="宋体"/>
              </w:rPr>
              <w:t>2.2.1科教融合、产教协同育人，联合培养情况等（1.0）</w:t>
            </w:r>
          </w:p>
        </w:tc>
        <w:tc>
          <w:tcPr>
            <w:tcW w:w="2335" w:type="pct"/>
          </w:tcPr>
          <w:p>
            <w:pPr>
              <w:snapToGrid w:val="0"/>
              <w:jc w:val="left"/>
              <w:rPr>
                <w:rFonts w:ascii="宋体" w:hAnsi="宋体" w:cs="宋体"/>
              </w:rPr>
            </w:pPr>
            <w:r>
              <w:rPr>
                <w:rFonts w:hint="eastAsia" w:ascii="宋体" w:hAnsi="宋体" w:cs="宋体"/>
              </w:rPr>
              <w:t>考察专业培养模式与专业定位的吻合度，培养模式的开放性及有效性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restart"/>
            <w:vAlign w:val="center"/>
          </w:tcPr>
          <w:p>
            <w:pPr>
              <w:snapToGrid w:val="0"/>
              <w:jc w:val="left"/>
              <w:rPr>
                <w:rFonts w:ascii="宋体" w:hAnsi="宋体" w:cs="宋体"/>
              </w:rPr>
            </w:pPr>
            <w:r>
              <w:rPr>
                <w:rFonts w:hint="eastAsia" w:ascii="宋体" w:hAnsi="宋体" w:cs="宋体"/>
              </w:rPr>
              <w:t>2.3人才培养国际化（0.2）</w:t>
            </w:r>
          </w:p>
        </w:tc>
        <w:tc>
          <w:tcPr>
            <w:tcW w:w="1219" w:type="pct"/>
            <w:vAlign w:val="center"/>
          </w:tcPr>
          <w:p>
            <w:pPr>
              <w:snapToGrid w:val="0"/>
              <w:jc w:val="left"/>
              <w:rPr>
                <w:rFonts w:ascii="宋体" w:hAnsi="宋体" w:cs="宋体"/>
              </w:rPr>
            </w:pPr>
            <w:r>
              <w:rPr>
                <w:rFonts w:hint="eastAsia" w:ascii="宋体" w:hAnsi="宋体" w:cs="宋体"/>
              </w:rPr>
              <w:t>2.3.1留学生（0.5）</w:t>
            </w:r>
          </w:p>
        </w:tc>
        <w:tc>
          <w:tcPr>
            <w:tcW w:w="2335" w:type="pct"/>
            <w:vAlign w:val="center"/>
          </w:tcPr>
          <w:p>
            <w:pPr>
              <w:snapToGrid w:val="0"/>
              <w:jc w:val="left"/>
              <w:rPr>
                <w:rFonts w:ascii="宋体" w:hAnsi="宋体" w:cs="宋体"/>
              </w:rPr>
            </w:pPr>
            <w:r>
              <w:rPr>
                <w:rFonts w:hint="eastAsia" w:ascii="宋体" w:hAnsi="宋体" w:cs="宋体"/>
              </w:rPr>
              <w:t>在校生本专业留学生占比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2.3.2学生国际交流（0.5）</w:t>
            </w:r>
          </w:p>
        </w:tc>
        <w:tc>
          <w:tcPr>
            <w:tcW w:w="2335" w:type="pct"/>
            <w:vAlign w:val="center"/>
          </w:tcPr>
          <w:p>
            <w:pPr>
              <w:snapToGrid w:val="0"/>
              <w:jc w:val="left"/>
              <w:rPr>
                <w:rFonts w:ascii="宋体" w:hAnsi="宋体" w:cs="宋体"/>
              </w:rPr>
            </w:pPr>
            <w:r>
              <w:rPr>
                <w:rFonts w:hint="eastAsia" w:ascii="宋体" w:hAnsi="宋体" w:cs="宋体"/>
              </w:rPr>
              <w:t>在校生国际交流生占比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restart"/>
            <w:vAlign w:val="center"/>
          </w:tcPr>
          <w:p>
            <w:pPr>
              <w:snapToGrid w:val="0"/>
              <w:jc w:val="left"/>
              <w:rPr>
                <w:rFonts w:ascii="宋体" w:hAnsi="宋体" w:cs="宋体"/>
              </w:rPr>
            </w:pPr>
            <w:r>
              <w:rPr>
                <w:rFonts w:hint="eastAsia" w:ascii="宋体" w:hAnsi="宋体" w:cs="宋体"/>
              </w:rPr>
              <w:t>3.培养能力（0.3）</w:t>
            </w:r>
          </w:p>
        </w:tc>
        <w:tc>
          <w:tcPr>
            <w:tcW w:w="884" w:type="pct"/>
            <w:vMerge w:val="restart"/>
            <w:vAlign w:val="center"/>
          </w:tcPr>
          <w:p>
            <w:pPr>
              <w:snapToGrid w:val="0"/>
              <w:jc w:val="left"/>
              <w:rPr>
                <w:rFonts w:ascii="宋体" w:hAnsi="宋体" w:cs="宋体"/>
              </w:rPr>
            </w:pPr>
            <w:r>
              <w:rPr>
                <w:rFonts w:hint="eastAsia" w:ascii="宋体" w:hAnsi="宋体" w:cs="宋体"/>
              </w:rPr>
              <w:t>3.1师资队伍（0.15）</w:t>
            </w:r>
          </w:p>
        </w:tc>
        <w:tc>
          <w:tcPr>
            <w:tcW w:w="1219" w:type="pct"/>
            <w:vAlign w:val="center"/>
          </w:tcPr>
          <w:p>
            <w:pPr>
              <w:snapToGrid w:val="0"/>
              <w:jc w:val="left"/>
              <w:rPr>
                <w:rFonts w:ascii="宋体" w:hAnsi="宋体" w:cs="宋体"/>
              </w:rPr>
            </w:pPr>
            <w:r>
              <w:rPr>
                <w:rFonts w:hint="eastAsia" w:ascii="宋体" w:hAnsi="宋体" w:cs="宋体"/>
              </w:rPr>
              <w:t>3.1.1专业生师比（0.15）</w:t>
            </w:r>
          </w:p>
        </w:tc>
        <w:tc>
          <w:tcPr>
            <w:tcW w:w="2335" w:type="pct"/>
            <w:vAlign w:val="center"/>
          </w:tcPr>
          <w:p>
            <w:pPr>
              <w:snapToGrid w:val="0"/>
              <w:jc w:val="left"/>
              <w:rPr>
                <w:rFonts w:ascii="宋体" w:hAnsi="宋体" w:cs="宋体"/>
              </w:rPr>
            </w:pPr>
            <w:r>
              <w:rPr>
                <w:rFonts w:hint="eastAsia" w:ascii="宋体" w:hAnsi="宋体" w:cs="宋体"/>
              </w:rPr>
              <w:t>专业教师指从事专业课教学工作的专任教师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3.1.2教师博士学位比例（0.1）</w:t>
            </w:r>
          </w:p>
        </w:tc>
        <w:tc>
          <w:tcPr>
            <w:tcW w:w="2335" w:type="pct"/>
            <w:vAlign w:val="center"/>
          </w:tcPr>
          <w:p>
            <w:pPr>
              <w:snapToGrid w:val="0"/>
              <w:jc w:val="left"/>
              <w:rPr>
                <w:rFonts w:ascii="宋体" w:hAnsi="宋体" w:cs="宋体"/>
              </w:rPr>
            </w:pPr>
            <w:r>
              <w:rPr>
                <w:rFonts w:hint="eastAsia" w:ascii="宋体" w:hAnsi="宋体" w:cs="宋体"/>
              </w:rPr>
              <w:t>专业师资队伍中具有博士学位教师占比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3.1.3国际化教师比例（0.1）</w:t>
            </w:r>
          </w:p>
        </w:tc>
        <w:tc>
          <w:tcPr>
            <w:tcW w:w="2335" w:type="pct"/>
          </w:tcPr>
          <w:p>
            <w:pPr>
              <w:snapToGrid w:val="0"/>
              <w:jc w:val="left"/>
              <w:rPr>
                <w:rFonts w:ascii="宋体" w:hAnsi="宋体" w:cs="宋体"/>
              </w:rPr>
            </w:pPr>
            <w:r>
              <w:rPr>
                <w:rFonts w:hint="eastAsia" w:ascii="宋体" w:hAnsi="宋体" w:cs="宋体"/>
              </w:rPr>
              <w:t>专业教师队伍中具有国际化背景（3个月以上访学交流）的比例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3.1.4教师专业背景吻合度（0.1）</w:t>
            </w:r>
          </w:p>
        </w:tc>
        <w:tc>
          <w:tcPr>
            <w:tcW w:w="2335" w:type="pct"/>
          </w:tcPr>
          <w:p>
            <w:pPr>
              <w:snapToGrid w:val="0"/>
              <w:jc w:val="left"/>
              <w:rPr>
                <w:rFonts w:ascii="宋体" w:hAnsi="宋体" w:cs="宋体"/>
              </w:rPr>
            </w:pPr>
            <w:r>
              <w:rPr>
                <w:rFonts w:hint="eastAsia" w:ascii="宋体" w:hAnsi="宋体" w:cs="宋体"/>
              </w:rPr>
              <w:t>专业教师队伍本科或硕、博研究生学历中毕业于所属学科的比例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3.1.5具有行业经历教师比例（0.1）</w:t>
            </w:r>
          </w:p>
        </w:tc>
        <w:tc>
          <w:tcPr>
            <w:tcW w:w="2335" w:type="pct"/>
          </w:tcPr>
          <w:p>
            <w:pPr>
              <w:snapToGrid w:val="0"/>
              <w:jc w:val="left"/>
              <w:rPr>
                <w:rFonts w:ascii="宋体" w:hAnsi="宋体" w:cs="宋体"/>
              </w:rPr>
            </w:pPr>
            <w:r>
              <w:rPr>
                <w:rFonts w:hint="eastAsia" w:ascii="宋体" w:hAnsi="宋体" w:cs="宋体"/>
              </w:rPr>
              <w:t>具有专业相关行业从业经历或与行业有过横向合作研究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3.1.6 师德师风（0.3）</w:t>
            </w:r>
          </w:p>
        </w:tc>
        <w:tc>
          <w:tcPr>
            <w:tcW w:w="2335" w:type="pct"/>
          </w:tcPr>
          <w:p>
            <w:pPr>
              <w:snapToGrid w:val="0"/>
              <w:jc w:val="left"/>
              <w:rPr>
                <w:rFonts w:ascii="宋体" w:hAnsi="宋体" w:cs="宋体"/>
              </w:rPr>
            </w:pPr>
            <w:r>
              <w:rPr>
                <w:rFonts w:hint="eastAsia" w:ascii="宋体" w:hAnsi="宋体" w:cs="宋体"/>
              </w:rPr>
              <w:t>获省级以上各类师德师风个人和集体奖励数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3.1.7专职辅导员（0.15）</w:t>
            </w:r>
          </w:p>
        </w:tc>
        <w:tc>
          <w:tcPr>
            <w:tcW w:w="2335" w:type="pct"/>
          </w:tcPr>
          <w:p>
            <w:pPr>
              <w:snapToGrid w:val="0"/>
              <w:jc w:val="left"/>
              <w:rPr>
                <w:rFonts w:ascii="宋体" w:hAnsi="宋体" w:cs="宋体"/>
              </w:rPr>
            </w:pPr>
            <w:r>
              <w:rPr>
                <w:rFonts w:hint="eastAsia" w:ascii="宋体" w:hAnsi="宋体" w:cs="宋体"/>
              </w:rPr>
              <w:t>每200名学生拥有的专职辅导员人数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restart"/>
            <w:vAlign w:val="center"/>
          </w:tcPr>
          <w:p>
            <w:pPr>
              <w:snapToGrid w:val="0"/>
              <w:jc w:val="left"/>
              <w:rPr>
                <w:rFonts w:ascii="宋体" w:hAnsi="宋体" w:cs="宋体"/>
              </w:rPr>
            </w:pPr>
            <w:r>
              <w:rPr>
                <w:rFonts w:hint="eastAsia" w:ascii="宋体" w:hAnsi="宋体" w:cs="宋体"/>
              </w:rPr>
              <w:t>3.2教师投入（0.3）</w:t>
            </w:r>
          </w:p>
        </w:tc>
        <w:tc>
          <w:tcPr>
            <w:tcW w:w="1219" w:type="pct"/>
            <w:vAlign w:val="center"/>
          </w:tcPr>
          <w:p>
            <w:pPr>
              <w:snapToGrid w:val="0"/>
              <w:jc w:val="left"/>
              <w:rPr>
                <w:rFonts w:ascii="宋体" w:hAnsi="宋体" w:cs="宋体"/>
              </w:rPr>
            </w:pPr>
            <w:r>
              <w:rPr>
                <w:rFonts w:hint="eastAsia" w:ascii="宋体" w:hAnsi="宋体" w:cs="宋体"/>
              </w:rPr>
              <w:t>3.2.1近四年主讲本科课程的教授比例（0.2）</w:t>
            </w:r>
          </w:p>
        </w:tc>
        <w:tc>
          <w:tcPr>
            <w:tcW w:w="2335" w:type="pct"/>
            <w:vAlign w:val="center"/>
          </w:tcPr>
          <w:p>
            <w:pPr>
              <w:snapToGrid w:val="0"/>
              <w:jc w:val="left"/>
              <w:rPr>
                <w:rFonts w:ascii="宋体" w:hAnsi="宋体" w:cs="宋体"/>
              </w:rPr>
            </w:pPr>
            <w:r>
              <w:rPr>
                <w:rFonts w:hint="eastAsia" w:ascii="宋体" w:hAnsi="宋体" w:cs="宋体"/>
              </w:rPr>
              <w:t>主讲本科课程的教授占教授总数的比例，取平均值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3.2.2近四年教授主讲的本科课程比例（0.2）</w:t>
            </w:r>
          </w:p>
        </w:tc>
        <w:tc>
          <w:tcPr>
            <w:tcW w:w="2335" w:type="pct"/>
            <w:vAlign w:val="center"/>
          </w:tcPr>
          <w:p>
            <w:pPr>
              <w:snapToGrid w:val="0"/>
              <w:jc w:val="left"/>
              <w:rPr>
                <w:rFonts w:ascii="宋体" w:hAnsi="宋体" w:cs="宋体"/>
              </w:rPr>
            </w:pPr>
            <w:r>
              <w:rPr>
                <w:rFonts w:hint="eastAsia" w:ascii="宋体" w:hAnsi="宋体" w:cs="宋体"/>
              </w:rPr>
              <w:t>教授主讲本科课程占总课程数的比例，取平均值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78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3.2.3近四年教学改革成果（0.3）</w:t>
            </w:r>
          </w:p>
        </w:tc>
        <w:tc>
          <w:tcPr>
            <w:tcW w:w="2335" w:type="pct"/>
            <w:vAlign w:val="center"/>
          </w:tcPr>
          <w:p>
            <w:pPr>
              <w:snapToGrid w:val="0"/>
              <w:jc w:val="left"/>
              <w:rPr>
                <w:rFonts w:ascii="宋体" w:hAnsi="宋体" w:cs="宋体"/>
              </w:rPr>
            </w:pPr>
            <w:r>
              <w:rPr>
                <w:rFonts w:hint="eastAsia" w:ascii="宋体" w:hAnsi="宋体" w:cs="宋体"/>
              </w:rPr>
              <w:t>提供3项代表性教学改革成果典型案例，包括教学改革项目、论文、应用情况支撑，每项不超过500字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3.2.4近四年师均指导学生创新创业教育项目数 （0.3）</w:t>
            </w:r>
          </w:p>
        </w:tc>
        <w:tc>
          <w:tcPr>
            <w:tcW w:w="2335" w:type="pct"/>
            <w:vAlign w:val="center"/>
          </w:tcPr>
          <w:p>
            <w:pPr>
              <w:snapToGrid w:val="0"/>
              <w:jc w:val="left"/>
              <w:rPr>
                <w:rFonts w:ascii="宋体" w:hAnsi="宋体" w:cs="宋体"/>
              </w:rPr>
            </w:pPr>
            <w:r>
              <w:rPr>
                <w:rFonts w:hint="eastAsia" w:ascii="宋体" w:hAnsi="宋体" w:cs="宋体"/>
              </w:rPr>
              <w:t>正式立项的校级以上创新创业项目数/专业教师总数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635" w:hRule="atLeast"/>
        </w:trPr>
        <w:tc>
          <w:tcPr>
            <w:tcW w:w="561" w:type="pct"/>
            <w:vMerge w:val="continue"/>
            <w:vAlign w:val="center"/>
          </w:tcPr>
          <w:p>
            <w:pPr>
              <w:snapToGrid w:val="0"/>
              <w:jc w:val="left"/>
              <w:rPr>
                <w:rFonts w:ascii="宋体" w:hAnsi="宋体" w:cs="宋体"/>
              </w:rPr>
            </w:pPr>
          </w:p>
        </w:tc>
        <w:tc>
          <w:tcPr>
            <w:tcW w:w="884" w:type="pct"/>
            <w:vMerge w:val="restart"/>
            <w:vAlign w:val="center"/>
          </w:tcPr>
          <w:p>
            <w:pPr>
              <w:snapToGrid w:val="0"/>
              <w:jc w:val="left"/>
              <w:rPr>
                <w:rFonts w:ascii="宋体" w:hAnsi="宋体" w:cs="宋体"/>
              </w:rPr>
            </w:pPr>
            <w:r>
              <w:rPr>
                <w:rFonts w:hint="eastAsia" w:ascii="宋体" w:hAnsi="宋体" w:cs="宋体"/>
              </w:rPr>
              <w:t>3.3教师科研水平（0.3）</w:t>
            </w:r>
          </w:p>
        </w:tc>
        <w:tc>
          <w:tcPr>
            <w:tcW w:w="1219" w:type="pct"/>
            <w:vAlign w:val="center"/>
          </w:tcPr>
          <w:p>
            <w:pPr>
              <w:snapToGrid w:val="0"/>
              <w:jc w:val="left"/>
              <w:rPr>
                <w:rFonts w:ascii="宋体" w:hAnsi="宋体" w:cs="宋体"/>
              </w:rPr>
            </w:pPr>
            <w:r>
              <w:rPr>
                <w:rFonts w:hint="eastAsia" w:ascii="宋体" w:hAnsi="宋体" w:cs="宋体"/>
              </w:rPr>
              <w:t>3.3.1近四年获得省部级以上科研奖励情况（0.2）</w:t>
            </w:r>
          </w:p>
        </w:tc>
        <w:tc>
          <w:tcPr>
            <w:tcW w:w="2335" w:type="pct"/>
            <w:vAlign w:val="center"/>
          </w:tcPr>
          <w:p>
            <w:pPr>
              <w:snapToGrid w:val="0"/>
              <w:jc w:val="left"/>
              <w:rPr>
                <w:rFonts w:ascii="宋体" w:hAnsi="宋体" w:cs="宋体"/>
              </w:rPr>
            </w:pPr>
            <w:r>
              <w:rPr>
                <w:rFonts w:hint="eastAsia" w:ascii="宋体" w:hAnsi="宋体" w:cs="宋体"/>
              </w:rPr>
              <w:t>获得省级以上自然科学奖、技术发明奖、科技进步奖、优秀成果奖等奖励数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1556"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3.3.2近四年师均主持科研项目情况（0.2）</w:t>
            </w:r>
          </w:p>
        </w:tc>
        <w:tc>
          <w:tcPr>
            <w:tcW w:w="2335" w:type="pct"/>
            <w:vAlign w:val="center"/>
          </w:tcPr>
          <w:p>
            <w:pPr>
              <w:snapToGrid w:val="0"/>
              <w:jc w:val="left"/>
              <w:rPr>
                <w:rFonts w:ascii="宋体" w:hAnsi="宋体" w:cs="宋体"/>
              </w:rPr>
            </w:pPr>
            <w:r>
              <w:rPr>
                <w:rFonts w:hint="eastAsia" w:ascii="宋体" w:hAnsi="宋体" w:cs="宋体"/>
              </w:rPr>
              <w:t>以第一立项单位主持国家级项目（科技部项目、国家自然基金项目、国家社科基金项目）、国防/军队重要科研项目、境外合作科研项目、部委级项目、省级项目（省教育厅科研立项、省科技厅立项、省自然科学基金、省社科基金）的情况，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76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3.3.3近四年代表性科研成果情况（0.4）</w:t>
            </w:r>
          </w:p>
        </w:tc>
        <w:tc>
          <w:tcPr>
            <w:tcW w:w="2335" w:type="pct"/>
          </w:tcPr>
          <w:p>
            <w:pPr>
              <w:snapToGrid w:val="0"/>
              <w:jc w:val="left"/>
              <w:rPr>
                <w:rFonts w:ascii="宋体" w:hAnsi="宋体" w:cs="宋体"/>
              </w:rPr>
            </w:pPr>
            <w:r>
              <w:rPr>
                <w:rFonts w:hint="eastAsia" w:ascii="宋体" w:hAnsi="宋体" w:cs="宋体"/>
              </w:rPr>
              <w:t>提供20项代表性科研成果。（包括论文、论著、专利、标准等）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3.3.4近四年教师编写教材情况（0.2）</w:t>
            </w:r>
          </w:p>
        </w:tc>
        <w:tc>
          <w:tcPr>
            <w:tcW w:w="2335" w:type="pct"/>
            <w:vAlign w:val="center"/>
          </w:tcPr>
          <w:p>
            <w:pPr>
              <w:snapToGrid w:val="0"/>
              <w:jc w:val="left"/>
              <w:rPr>
                <w:rFonts w:ascii="宋体" w:hAnsi="宋体" w:cs="宋体"/>
              </w:rPr>
            </w:pPr>
            <w:r>
              <w:rPr>
                <w:rFonts w:hint="eastAsia" w:ascii="宋体" w:hAnsi="宋体" w:cs="宋体"/>
              </w:rPr>
              <w:t>指正式出版的与本专业相关的教材，且本专业教师担任主编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3.4专业建设</w:t>
            </w:r>
          </w:p>
          <w:p>
            <w:pPr>
              <w:snapToGrid w:val="0"/>
              <w:jc w:val="left"/>
              <w:rPr>
                <w:rFonts w:ascii="宋体" w:hAnsi="宋体" w:cs="宋体"/>
              </w:rPr>
            </w:pPr>
            <w:r>
              <w:rPr>
                <w:rFonts w:hint="eastAsia" w:ascii="宋体" w:hAnsi="宋体" w:cs="宋体"/>
              </w:rPr>
              <w:t>（0.1）</w:t>
            </w:r>
          </w:p>
        </w:tc>
        <w:tc>
          <w:tcPr>
            <w:tcW w:w="1219" w:type="pct"/>
            <w:vAlign w:val="center"/>
          </w:tcPr>
          <w:p>
            <w:pPr>
              <w:snapToGrid w:val="0"/>
              <w:jc w:val="left"/>
              <w:rPr>
                <w:rFonts w:ascii="宋体" w:hAnsi="宋体" w:cs="宋体"/>
              </w:rPr>
            </w:pPr>
            <w:r>
              <w:rPr>
                <w:rFonts w:hint="eastAsia" w:ascii="宋体" w:hAnsi="宋体" w:cs="宋体"/>
              </w:rPr>
              <w:t>3.4.1专业建设水平（1.0）</w:t>
            </w:r>
          </w:p>
        </w:tc>
        <w:tc>
          <w:tcPr>
            <w:tcW w:w="2335" w:type="pct"/>
            <w:vAlign w:val="center"/>
          </w:tcPr>
          <w:p>
            <w:pPr>
              <w:snapToGrid w:val="0"/>
              <w:jc w:val="left"/>
              <w:rPr>
                <w:rFonts w:ascii="宋体" w:hAnsi="宋体" w:cs="宋体"/>
              </w:rPr>
            </w:pPr>
            <w:r>
              <w:rPr>
                <w:rFonts w:hint="eastAsia" w:ascii="宋体" w:hAnsi="宋体" w:cs="宋体"/>
              </w:rPr>
              <w:t>考察是否为省级以上一流专业、专业认证通过情况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3.5课程供给（0.05）</w:t>
            </w:r>
          </w:p>
        </w:tc>
        <w:tc>
          <w:tcPr>
            <w:tcW w:w="1219" w:type="pct"/>
            <w:vAlign w:val="center"/>
          </w:tcPr>
          <w:p>
            <w:pPr>
              <w:snapToGrid w:val="0"/>
              <w:jc w:val="left"/>
              <w:rPr>
                <w:rFonts w:ascii="宋体" w:hAnsi="宋体" w:cs="宋体"/>
              </w:rPr>
            </w:pPr>
            <w:r>
              <w:rPr>
                <w:rFonts w:hint="eastAsia" w:ascii="宋体" w:hAnsi="宋体" w:cs="宋体"/>
              </w:rPr>
              <w:t>3.5.1开设的专业课程门数（1.0）</w:t>
            </w:r>
          </w:p>
        </w:tc>
        <w:tc>
          <w:tcPr>
            <w:tcW w:w="2335" w:type="pct"/>
            <w:vAlign w:val="center"/>
          </w:tcPr>
          <w:p>
            <w:pPr>
              <w:snapToGrid w:val="0"/>
              <w:jc w:val="left"/>
              <w:rPr>
                <w:rFonts w:ascii="宋体" w:hAnsi="宋体" w:cs="宋体"/>
              </w:rPr>
            </w:pPr>
            <w:r>
              <w:rPr>
                <w:rFonts w:hint="eastAsia" w:ascii="宋体" w:hAnsi="宋体" w:cs="宋体"/>
              </w:rPr>
              <w:t>本专业开设并纳入培养方案的课程数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90" w:hRule="atLeast"/>
        </w:trPr>
        <w:tc>
          <w:tcPr>
            <w:tcW w:w="561" w:type="pct"/>
            <w:vMerge w:val="continue"/>
            <w:vAlign w:val="center"/>
          </w:tcPr>
          <w:p>
            <w:pPr>
              <w:snapToGrid w:val="0"/>
              <w:jc w:val="left"/>
              <w:rPr>
                <w:rFonts w:ascii="宋体" w:hAnsi="宋体" w:cs="宋体"/>
              </w:rPr>
            </w:pPr>
          </w:p>
        </w:tc>
        <w:tc>
          <w:tcPr>
            <w:tcW w:w="884" w:type="pct"/>
            <w:vMerge w:val="restart"/>
            <w:vAlign w:val="center"/>
          </w:tcPr>
          <w:p>
            <w:pPr>
              <w:snapToGrid w:val="0"/>
              <w:jc w:val="left"/>
              <w:rPr>
                <w:rFonts w:ascii="宋体" w:hAnsi="宋体" w:cs="宋体"/>
              </w:rPr>
            </w:pPr>
            <w:r>
              <w:rPr>
                <w:rFonts w:hint="eastAsia" w:ascii="宋体" w:hAnsi="宋体" w:cs="宋体"/>
              </w:rPr>
              <w:t>3.6实践教学条件（0.1）</w:t>
            </w:r>
          </w:p>
        </w:tc>
        <w:tc>
          <w:tcPr>
            <w:tcW w:w="1219" w:type="pct"/>
            <w:vAlign w:val="center"/>
          </w:tcPr>
          <w:p>
            <w:pPr>
              <w:snapToGrid w:val="0"/>
              <w:jc w:val="left"/>
              <w:rPr>
                <w:rFonts w:ascii="宋体" w:hAnsi="宋体" w:cs="宋体"/>
              </w:rPr>
            </w:pPr>
            <w:r>
              <w:rPr>
                <w:rFonts w:hint="eastAsia" w:ascii="宋体" w:hAnsi="宋体" w:cs="宋体"/>
              </w:rPr>
              <w:t>3.6.1生均教学实验室面积（0.3）</w:t>
            </w:r>
          </w:p>
        </w:tc>
        <w:tc>
          <w:tcPr>
            <w:tcW w:w="2335" w:type="pct"/>
            <w:vAlign w:val="center"/>
          </w:tcPr>
          <w:p>
            <w:pPr>
              <w:snapToGrid w:val="0"/>
              <w:jc w:val="left"/>
              <w:rPr>
                <w:rFonts w:ascii="宋体" w:hAnsi="宋体" w:cs="宋体"/>
              </w:rPr>
            </w:pPr>
            <w:r>
              <w:rPr>
                <w:rFonts w:hint="eastAsia" w:ascii="宋体" w:hAnsi="宋体" w:cs="宋体"/>
              </w:rPr>
              <w:t>实验室指用于本科教学的实验室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3.6.2生均教学仪器设备总值（0.3）</w:t>
            </w:r>
          </w:p>
        </w:tc>
        <w:tc>
          <w:tcPr>
            <w:tcW w:w="2335" w:type="pct"/>
            <w:vAlign w:val="center"/>
          </w:tcPr>
          <w:p>
            <w:pPr>
              <w:snapToGrid w:val="0"/>
              <w:jc w:val="left"/>
              <w:rPr>
                <w:rFonts w:ascii="宋体" w:hAnsi="宋体" w:cs="宋体"/>
              </w:rPr>
            </w:pPr>
            <w:r>
              <w:rPr>
                <w:rFonts w:hint="eastAsia" w:ascii="宋体" w:hAnsi="宋体" w:cs="宋体"/>
              </w:rPr>
              <w:t>仪器设备指主要服务于本科教学的设备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760"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3.6.3实践教学基地建设（0.4）</w:t>
            </w:r>
          </w:p>
        </w:tc>
        <w:tc>
          <w:tcPr>
            <w:tcW w:w="2335" w:type="pct"/>
            <w:vAlign w:val="center"/>
          </w:tcPr>
          <w:p>
            <w:pPr>
              <w:snapToGrid w:val="0"/>
              <w:jc w:val="left"/>
              <w:rPr>
                <w:rFonts w:ascii="宋体" w:hAnsi="宋体" w:cs="宋体"/>
              </w:rPr>
            </w:pPr>
            <w:r>
              <w:rPr>
                <w:rFonts w:hint="eastAsia" w:ascii="宋体" w:hAnsi="宋体" w:cs="宋体"/>
              </w:rPr>
              <w:t>校外实习实践基地数量及各基地实习学生人次数与专业在校生总数的比值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739" w:hRule="atLeast"/>
        </w:trPr>
        <w:tc>
          <w:tcPr>
            <w:tcW w:w="561" w:type="pct"/>
            <w:vMerge w:val="restart"/>
            <w:vAlign w:val="center"/>
          </w:tcPr>
          <w:p>
            <w:pPr>
              <w:snapToGrid w:val="0"/>
              <w:jc w:val="left"/>
              <w:rPr>
                <w:rFonts w:ascii="宋体" w:hAnsi="宋体" w:cs="宋体"/>
              </w:rPr>
            </w:pPr>
            <w:r>
              <w:rPr>
                <w:rFonts w:hint="eastAsia" w:ascii="宋体" w:hAnsi="宋体" w:cs="宋体"/>
              </w:rPr>
              <w:t>4.教学质量（0.15）</w:t>
            </w:r>
          </w:p>
        </w:tc>
        <w:tc>
          <w:tcPr>
            <w:tcW w:w="884" w:type="pct"/>
            <w:vMerge w:val="restart"/>
            <w:vAlign w:val="center"/>
          </w:tcPr>
          <w:p>
            <w:pPr>
              <w:snapToGrid w:val="0"/>
              <w:jc w:val="left"/>
              <w:rPr>
                <w:rFonts w:ascii="宋体" w:hAnsi="宋体" w:cs="宋体"/>
              </w:rPr>
            </w:pPr>
            <w:r>
              <w:rPr>
                <w:rFonts w:hint="eastAsia" w:ascii="宋体" w:hAnsi="宋体" w:cs="宋体"/>
              </w:rPr>
              <w:t>4.1教学研究成果（0.2）</w:t>
            </w:r>
          </w:p>
        </w:tc>
        <w:tc>
          <w:tcPr>
            <w:tcW w:w="1219" w:type="pct"/>
            <w:vAlign w:val="center"/>
          </w:tcPr>
          <w:p>
            <w:pPr>
              <w:snapToGrid w:val="0"/>
              <w:jc w:val="left"/>
              <w:rPr>
                <w:rFonts w:ascii="宋体" w:hAnsi="宋体" w:cs="宋体"/>
              </w:rPr>
            </w:pPr>
            <w:r>
              <w:rPr>
                <w:rFonts w:hint="eastAsia" w:ascii="宋体" w:hAnsi="宋体" w:cs="宋体"/>
              </w:rPr>
              <w:t>4.1.1近四年课程教学改革项目情况（0.5）</w:t>
            </w:r>
          </w:p>
        </w:tc>
        <w:tc>
          <w:tcPr>
            <w:tcW w:w="2335" w:type="pct"/>
            <w:vAlign w:val="center"/>
          </w:tcPr>
          <w:p>
            <w:pPr>
              <w:snapToGrid w:val="0"/>
              <w:jc w:val="left"/>
              <w:rPr>
                <w:rFonts w:ascii="宋体" w:hAnsi="宋体" w:cs="宋体"/>
              </w:rPr>
            </w:pPr>
            <w:r>
              <w:rPr>
                <w:rFonts w:hint="eastAsia" w:ascii="宋体" w:hAnsi="宋体" w:cs="宋体"/>
              </w:rPr>
              <w:t>该专业教师参与完成的省级以上课程教学改革研究项目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832" w:hRule="atLeast"/>
        </w:trPr>
        <w:tc>
          <w:tcPr>
            <w:tcW w:w="561" w:type="pct"/>
            <w:vMerge w:val="continue"/>
            <w:vAlign w:val="center"/>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4.1.2近四年省级以上教学研究项目（0.5）</w:t>
            </w:r>
          </w:p>
        </w:tc>
        <w:tc>
          <w:tcPr>
            <w:tcW w:w="2335" w:type="pct"/>
            <w:vAlign w:val="center"/>
          </w:tcPr>
          <w:p>
            <w:pPr>
              <w:snapToGrid w:val="0"/>
              <w:jc w:val="left"/>
              <w:rPr>
                <w:rFonts w:ascii="宋体" w:hAnsi="宋体" w:cs="宋体"/>
              </w:rPr>
            </w:pPr>
            <w:r>
              <w:rPr>
                <w:rFonts w:hint="eastAsia" w:ascii="宋体" w:hAnsi="宋体" w:cs="宋体"/>
              </w:rPr>
              <w:t>该专业教师参与完成的省级以上除课程教学改革外的教学研究项目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4.2教学成果奖（0.2）</w:t>
            </w:r>
          </w:p>
        </w:tc>
        <w:tc>
          <w:tcPr>
            <w:tcW w:w="1219" w:type="pct"/>
            <w:vAlign w:val="center"/>
          </w:tcPr>
          <w:p>
            <w:pPr>
              <w:snapToGrid w:val="0"/>
              <w:jc w:val="left"/>
              <w:rPr>
                <w:rFonts w:ascii="宋体" w:hAnsi="宋体" w:cs="宋体"/>
              </w:rPr>
            </w:pPr>
            <w:r>
              <w:rPr>
                <w:rFonts w:hint="eastAsia" w:ascii="宋体" w:hAnsi="宋体" w:cs="宋体"/>
              </w:rPr>
              <w:t>4.2.1近四年省级以上教学成果奖（1.0）</w:t>
            </w:r>
          </w:p>
        </w:tc>
        <w:tc>
          <w:tcPr>
            <w:tcW w:w="2335" w:type="pct"/>
            <w:vAlign w:val="center"/>
          </w:tcPr>
          <w:p>
            <w:pPr>
              <w:snapToGrid w:val="0"/>
              <w:jc w:val="left"/>
              <w:rPr>
                <w:rFonts w:ascii="宋体" w:hAnsi="宋体" w:cs="宋体"/>
              </w:rPr>
            </w:pPr>
            <w:r>
              <w:rPr>
                <w:rFonts w:hint="eastAsia" w:ascii="宋体" w:hAnsi="宋体" w:cs="宋体"/>
              </w:rPr>
              <w:t>该专业教师参与完成的省级以上获奖成果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527"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4.3课程建设成效（0.2）</w:t>
            </w:r>
          </w:p>
        </w:tc>
        <w:tc>
          <w:tcPr>
            <w:tcW w:w="1219" w:type="pct"/>
            <w:vAlign w:val="center"/>
          </w:tcPr>
          <w:p>
            <w:pPr>
              <w:snapToGrid w:val="0"/>
              <w:jc w:val="left"/>
              <w:rPr>
                <w:rFonts w:ascii="宋体" w:hAnsi="宋体" w:cs="宋体"/>
              </w:rPr>
            </w:pPr>
            <w:r>
              <w:rPr>
                <w:rFonts w:hint="eastAsia" w:ascii="宋体" w:hAnsi="宋体" w:cs="宋体"/>
              </w:rPr>
              <w:t>4.3.1“五大类”一流课程（1.0）</w:t>
            </w:r>
          </w:p>
        </w:tc>
        <w:tc>
          <w:tcPr>
            <w:tcW w:w="2335" w:type="pct"/>
            <w:vAlign w:val="center"/>
          </w:tcPr>
          <w:p>
            <w:pPr>
              <w:snapToGrid w:val="0"/>
              <w:jc w:val="left"/>
              <w:rPr>
                <w:rFonts w:ascii="宋体" w:hAnsi="宋体" w:cs="宋体"/>
              </w:rPr>
            </w:pPr>
            <w:r>
              <w:rPr>
                <w:rFonts w:hint="eastAsia" w:ascii="宋体" w:hAnsi="宋体" w:cs="宋体"/>
              </w:rPr>
              <w:t>考察进入省级以上“五大类”一流课程门数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1476"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4.4授课质量（0.2）</w:t>
            </w:r>
          </w:p>
        </w:tc>
        <w:tc>
          <w:tcPr>
            <w:tcW w:w="1219" w:type="pct"/>
          </w:tcPr>
          <w:p>
            <w:pPr>
              <w:snapToGrid w:val="0"/>
              <w:jc w:val="left"/>
              <w:rPr>
                <w:rFonts w:ascii="宋体" w:hAnsi="宋体" w:cs="宋体"/>
              </w:rPr>
            </w:pPr>
            <w:r>
              <w:rPr>
                <w:rFonts w:hint="eastAsia" w:ascii="宋体" w:hAnsi="宋体" w:cs="宋体"/>
              </w:rPr>
              <w:t>4.4.1近四年获教书育人杰出贡献奖、卓越教师奖，获教学标兵奖、授课质量奖（含提名奖）情况（1.0）</w:t>
            </w:r>
          </w:p>
        </w:tc>
        <w:tc>
          <w:tcPr>
            <w:tcW w:w="2335" w:type="pct"/>
            <w:vAlign w:val="center"/>
          </w:tcPr>
          <w:p>
            <w:pPr>
              <w:snapToGrid w:val="0"/>
              <w:jc w:val="left"/>
              <w:rPr>
                <w:rFonts w:ascii="宋体" w:hAnsi="宋体" w:cs="宋体"/>
              </w:rPr>
            </w:pPr>
            <w:r>
              <w:rPr>
                <w:rFonts w:hint="eastAsia" w:ascii="宋体" w:hAnsi="宋体" w:cs="宋体"/>
              </w:rPr>
              <w:t>获教书育人杰出贡献奖、卓越教师奖，获教学标兵奖、授课质量奖（含提名奖）人次比例</w:t>
            </w:r>
          </w:p>
        </w:tc>
      </w:tr>
      <w:tr>
        <w:tblPrEx>
          <w:tblCellMar>
            <w:top w:w="40" w:type="dxa"/>
            <w:left w:w="57" w:type="dxa"/>
            <w:bottom w:w="40" w:type="dxa"/>
            <w:right w:w="57" w:type="dxa"/>
          </w:tblCellMar>
        </w:tblPrEx>
        <w:trPr>
          <w:cantSplit/>
          <w:trHeight w:val="340" w:hRule="atLeast"/>
        </w:trPr>
        <w:tc>
          <w:tcPr>
            <w:tcW w:w="561" w:type="pct"/>
            <w:vMerge w:val="continue"/>
            <w:vAlign w:val="center"/>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4.5教学竞赛（0.2）</w:t>
            </w:r>
          </w:p>
        </w:tc>
        <w:tc>
          <w:tcPr>
            <w:tcW w:w="1219" w:type="pct"/>
            <w:vAlign w:val="center"/>
          </w:tcPr>
          <w:p>
            <w:pPr>
              <w:snapToGrid w:val="0"/>
              <w:jc w:val="left"/>
              <w:rPr>
                <w:rFonts w:ascii="宋体" w:hAnsi="宋体" w:cs="宋体"/>
              </w:rPr>
            </w:pPr>
            <w:r>
              <w:rPr>
                <w:rFonts w:hint="eastAsia" w:ascii="宋体" w:hAnsi="宋体" w:cs="宋体"/>
              </w:rPr>
              <w:t>4.5.1近四年教师参加省级以上各类教学竞赛获奖情况（1.0）</w:t>
            </w:r>
          </w:p>
        </w:tc>
        <w:tc>
          <w:tcPr>
            <w:tcW w:w="2335" w:type="pct"/>
            <w:vAlign w:val="center"/>
          </w:tcPr>
          <w:p>
            <w:pPr>
              <w:snapToGrid w:val="0"/>
              <w:jc w:val="left"/>
              <w:rPr>
                <w:rFonts w:ascii="宋体" w:hAnsi="宋体" w:cs="宋体"/>
              </w:rPr>
            </w:pPr>
            <w:r>
              <w:rPr>
                <w:rFonts w:hint="eastAsia" w:ascii="宋体" w:hAnsi="宋体" w:cs="宋体"/>
              </w:rPr>
              <w:t>省级以上教学竞赛获奖人数占教师总数的比例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restart"/>
            <w:vAlign w:val="center"/>
          </w:tcPr>
          <w:p>
            <w:pPr>
              <w:snapToGrid w:val="0"/>
              <w:rPr>
                <w:rFonts w:ascii="宋体" w:hAnsi="宋体" w:cs="宋体"/>
              </w:rPr>
            </w:pPr>
            <w:r>
              <w:rPr>
                <w:rFonts w:hint="eastAsia" w:ascii="宋体" w:hAnsi="宋体" w:cs="宋体"/>
              </w:rPr>
              <w:t>5.学习质量（0.15）</w:t>
            </w:r>
          </w:p>
        </w:tc>
        <w:tc>
          <w:tcPr>
            <w:tcW w:w="884" w:type="pct"/>
            <w:vAlign w:val="center"/>
          </w:tcPr>
          <w:p>
            <w:pPr>
              <w:snapToGrid w:val="0"/>
              <w:jc w:val="left"/>
              <w:rPr>
                <w:rFonts w:ascii="宋体" w:hAnsi="宋体" w:cs="宋体"/>
              </w:rPr>
            </w:pPr>
            <w:r>
              <w:rPr>
                <w:rFonts w:hint="eastAsia" w:ascii="宋体" w:hAnsi="宋体" w:cs="宋体"/>
              </w:rPr>
              <w:t>5.1学生竞赛成绩（0.3）</w:t>
            </w:r>
          </w:p>
        </w:tc>
        <w:tc>
          <w:tcPr>
            <w:tcW w:w="1219" w:type="pct"/>
            <w:vAlign w:val="center"/>
          </w:tcPr>
          <w:p>
            <w:pPr>
              <w:snapToGrid w:val="0"/>
              <w:jc w:val="left"/>
              <w:rPr>
                <w:rFonts w:ascii="宋体" w:hAnsi="宋体" w:cs="宋体"/>
              </w:rPr>
            </w:pPr>
            <w:r>
              <w:rPr>
                <w:rFonts w:hint="eastAsia" w:ascii="宋体" w:hAnsi="宋体" w:cs="宋体"/>
              </w:rPr>
              <w:t>5.1.1近四年学生获省级以上各类竞赛奖励人数比例（1.0）</w:t>
            </w:r>
          </w:p>
        </w:tc>
        <w:tc>
          <w:tcPr>
            <w:tcW w:w="2335" w:type="pct"/>
            <w:vAlign w:val="center"/>
          </w:tcPr>
          <w:p>
            <w:pPr>
              <w:snapToGrid w:val="0"/>
              <w:jc w:val="left"/>
              <w:rPr>
                <w:rFonts w:ascii="宋体" w:hAnsi="宋体" w:cs="宋体"/>
              </w:rPr>
            </w:pPr>
            <w:r>
              <w:rPr>
                <w:rFonts w:hint="eastAsia" w:ascii="宋体" w:hAnsi="宋体" w:cs="宋体"/>
              </w:rPr>
              <w:t>该专业学生为获奖人之一。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Pr>
        <w:tc>
          <w:tcPr>
            <w:tcW w:w="561" w:type="pct"/>
            <w:vMerge w:val="continue"/>
            <w:vAlign w:val="center"/>
          </w:tcPr>
          <w:p>
            <w:pPr>
              <w:snapToGrid w:val="0"/>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5.2学生创新创业教育（0.3）</w:t>
            </w:r>
          </w:p>
        </w:tc>
        <w:tc>
          <w:tcPr>
            <w:tcW w:w="1219" w:type="pct"/>
            <w:vAlign w:val="center"/>
          </w:tcPr>
          <w:p>
            <w:pPr>
              <w:snapToGrid w:val="0"/>
              <w:jc w:val="left"/>
              <w:rPr>
                <w:rFonts w:ascii="宋体" w:hAnsi="宋体" w:cs="宋体"/>
              </w:rPr>
            </w:pPr>
            <w:r>
              <w:rPr>
                <w:rFonts w:hint="eastAsia" w:ascii="宋体" w:hAnsi="宋体" w:cs="宋体"/>
              </w:rPr>
              <w:t>5.2.1学生创新创业教育（1.0）</w:t>
            </w:r>
          </w:p>
        </w:tc>
        <w:tc>
          <w:tcPr>
            <w:tcW w:w="2335" w:type="pct"/>
            <w:vAlign w:val="center"/>
          </w:tcPr>
          <w:p>
            <w:pPr>
              <w:snapToGrid w:val="0"/>
              <w:jc w:val="left"/>
              <w:rPr>
                <w:rFonts w:ascii="宋体" w:hAnsi="宋体" w:cs="宋体"/>
              </w:rPr>
            </w:pPr>
            <w:r>
              <w:rPr>
                <w:rFonts w:hint="eastAsia" w:ascii="宋体" w:hAnsi="宋体" w:cs="宋体"/>
              </w:rPr>
              <w:t>近四年参加创新创业活动及参与科研项目学生人次数与专业在校生总数的比值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1249" w:hRule="atLeast"/>
        </w:trPr>
        <w:tc>
          <w:tcPr>
            <w:tcW w:w="561" w:type="pct"/>
            <w:vMerge w:val="continue"/>
            <w:vAlign w:val="center"/>
          </w:tcPr>
          <w:p>
            <w:pPr>
              <w:snapToGrid w:val="0"/>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5.3在校生发表论文、获批专利数量（0.1）</w:t>
            </w:r>
          </w:p>
        </w:tc>
        <w:tc>
          <w:tcPr>
            <w:tcW w:w="1219" w:type="pct"/>
            <w:vAlign w:val="center"/>
          </w:tcPr>
          <w:p>
            <w:pPr>
              <w:snapToGrid w:val="0"/>
              <w:jc w:val="left"/>
              <w:rPr>
                <w:rFonts w:ascii="宋体" w:hAnsi="宋体" w:cs="宋体"/>
              </w:rPr>
            </w:pPr>
            <w:r>
              <w:rPr>
                <w:rFonts w:hint="eastAsia" w:ascii="宋体" w:hAnsi="宋体" w:cs="宋体"/>
              </w:rPr>
              <w:t>5.3.1近四年在校生发表的论文、获批专利数（1.0）</w:t>
            </w:r>
          </w:p>
        </w:tc>
        <w:tc>
          <w:tcPr>
            <w:tcW w:w="2335" w:type="pct"/>
            <w:vAlign w:val="center"/>
          </w:tcPr>
          <w:p>
            <w:pPr>
              <w:snapToGrid w:val="0"/>
              <w:jc w:val="left"/>
              <w:rPr>
                <w:rFonts w:ascii="宋体" w:hAnsi="宋体" w:cs="宋体"/>
              </w:rPr>
            </w:pPr>
            <w:r>
              <w:rPr>
                <w:rFonts w:hint="eastAsia" w:ascii="宋体" w:hAnsi="宋体" w:cs="宋体"/>
              </w:rPr>
              <w:t>该专业学生为发表学术论文第一或第二作者（需在知网中能搜索到，且若为第二作者，该篇论文第一作者需为本专业教师）；该专业学生为获得专利限额内成员。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5.4体育教育（0.1）</w:t>
            </w:r>
          </w:p>
        </w:tc>
        <w:tc>
          <w:tcPr>
            <w:tcW w:w="1219" w:type="pct"/>
            <w:vAlign w:val="center"/>
          </w:tcPr>
          <w:p>
            <w:pPr>
              <w:snapToGrid w:val="0"/>
              <w:jc w:val="left"/>
              <w:rPr>
                <w:rFonts w:ascii="宋体" w:hAnsi="宋体" w:cs="宋体"/>
              </w:rPr>
            </w:pPr>
            <w:r>
              <w:rPr>
                <w:rFonts w:hint="eastAsia" w:ascii="宋体" w:hAnsi="宋体" w:cs="宋体"/>
              </w:rPr>
              <w:t>5.4.1近四年学生体质健康测试合格率（1.0）</w:t>
            </w:r>
          </w:p>
        </w:tc>
        <w:tc>
          <w:tcPr>
            <w:tcW w:w="2335" w:type="pct"/>
            <w:vAlign w:val="center"/>
          </w:tcPr>
          <w:p>
            <w:pPr>
              <w:snapToGrid w:val="0"/>
              <w:jc w:val="left"/>
              <w:rPr>
                <w:rFonts w:ascii="宋体" w:hAnsi="宋体" w:cs="宋体"/>
              </w:rPr>
            </w:pPr>
            <w:r>
              <w:rPr>
                <w:rFonts w:hint="eastAsia" w:ascii="宋体" w:hAnsi="宋体" w:cs="宋体"/>
              </w:rPr>
              <w:t>考察近四年该专业学生体质健康测试合格率，取平均值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5.5优秀在校生简介（0.2）</w:t>
            </w:r>
          </w:p>
        </w:tc>
        <w:tc>
          <w:tcPr>
            <w:tcW w:w="1219" w:type="pct"/>
            <w:vAlign w:val="center"/>
          </w:tcPr>
          <w:p>
            <w:pPr>
              <w:snapToGrid w:val="0"/>
              <w:jc w:val="left"/>
              <w:rPr>
                <w:rFonts w:ascii="宋体" w:hAnsi="宋体" w:cs="宋体"/>
              </w:rPr>
            </w:pPr>
            <w:r>
              <w:rPr>
                <w:rFonts w:hint="eastAsia" w:ascii="宋体" w:hAnsi="宋体" w:cs="宋体"/>
              </w:rPr>
              <w:t>5.5.1十名德智体美劳全面发展的优秀学生（1.0）</w:t>
            </w:r>
          </w:p>
        </w:tc>
        <w:tc>
          <w:tcPr>
            <w:tcW w:w="2335" w:type="pct"/>
            <w:vAlign w:val="center"/>
          </w:tcPr>
          <w:p>
            <w:pPr>
              <w:snapToGrid w:val="0"/>
              <w:jc w:val="left"/>
              <w:rPr>
                <w:rFonts w:ascii="宋体" w:hAnsi="宋体" w:cs="宋体"/>
              </w:rPr>
            </w:pPr>
            <w:r>
              <w:rPr>
                <w:rFonts w:hint="eastAsia" w:ascii="宋体" w:hAnsi="宋体" w:cs="宋体"/>
              </w:rPr>
              <w:t>本专业在校生，每人简介300字以内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restart"/>
            <w:vAlign w:val="center"/>
          </w:tcPr>
          <w:p>
            <w:pPr>
              <w:snapToGrid w:val="0"/>
              <w:rPr>
                <w:rFonts w:ascii="宋体" w:hAnsi="宋体" w:cs="宋体"/>
              </w:rPr>
            </w:pPr>
            <w:r>
              <w:rPr>
                <w:rFonts w:hint="eastAsia" w:ascii="宋体" w:hAnsi="宋体" w:cs="宋体"/>
              </w:rPr>
              <w:t>6.就业与发展质量（0.1）</w:t>
            </w:r>
          </w:p>
        </w:tc>
        <w:tc>
          <w:tcPr>
            <w:tcW w:w="884" w:type="pct"/>
            <w:vAlign w:val="center"/>
          </w:tcPr>
          <w:p>
            <w:pPr>
              <w:snapToGrid w:val="0"/>
              <w:jc w:val="left"/>
              <w:rPr>
                <w:rFonts w:ascii="宋体" w:hAnsi="宋体" w:cs="宋体"/>
              </w:rPr>
            </w:pPr>
            <w:r>
              <w:rPr>
                <w:rFonts w:hint="eastAsia" w:ascii="宋体" w:hAnsi="宋体" w:cs="宋体"/>
              </w:rPr>
              <w:t>6.1就业率（0.3）</w:t>
            </w:r>
          </w:p>
        </w:tc>
        <w:tc>
          <w:tcPr>
            <w:tcW w:w="1219" w:type="pct"/>
            <w:vAlign w:val="center"/>
          </w:tcPr>
          <w:p>
            <w:pPr>
              <w:snapToGrid w:val="0"/>
              <w:jc w:val="left"/>
              <w:rPr>
                <w:rFonts w:ascii="宋体" w:hAnsi="宋体" w:cs="宋体"/>
              </w:rPr>
            </w:pPr>
            <w:r>
              <w:rPr>
                <w:rFonts w:hint="eastAsia" w:ascii="宋体" w:hAnsi="宋体" w:cs="宋体"/>
              </w:rPr>
              <w:t>6.1.1近四年毕业生就业率（1.0）</w:t>
            </w:r>
          </w:p>
        </w:tc>
        <w:tc>
          <w:tcPr>
            <w:tcW w:w="2335" w:type="pct"/>
            <w:vAlign w:val="center"/>
          </w:tcPr>
          <w:p>
            <w:pPr>
              <w:snapToGrid w:val="0"/>
              <w:jc w:val="left"/>
              <w:rPr>
                <w:rFonts w:ascii="宋体" w:hAnsi="宋体" w:cs="宋体"/>
              </w:rPr>
            </w:pPr>
            <w:r>
              <w:rPr>
                <w:rFonts w:hint="eastAsia" w:ascii="宋体" w:hAnsi="宋体" w:cs="宋体"/>
              </w:rPr>
              <w:t>招就处统计的一次性就业率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6.2升学率（0.3）</w:t>
            </w:r>
          </w:p>
        </w:tc>
        <w:tc>
          <w:tcPr>
            <w:tcW w:w="1219" w:type="pct"/>
            <w:vAlign w:val="center"/>
          </w:tcPr>
          <w:p>
            <w:pPr>
              <w:snapToGrid w:val="0"/>
              <w:jc w:val="left"/>
              <w:rPr>
                <w:rFonts w:ascii="宋体" w:hAnsi="宋体" w:cs="宋体"/>
              </w:rPr>
            </w:pPr>
            <w:r>
              <w:rPr>
                <w:rFonts w:hint="eastAsia" w:ascii="宋体" w:hAnsi="宋体" w:cs="宋体"/>
              </w:rPr>
              <w:t>6.2.1近四年毕业生考研录取人数占比（1.0）</w:t>
            </w:r>
          </w:p>
        </w:tc>
        <w:tc>
          <w:tcPr>
            <w:tcW w:w="2335" w:type="pct"/>
            <w:vAlign w:val="center"/>
          </w:tcPr>
          <w:p>
            <w:pPr>
              <w:snapToGrid w:val="0"/>
              <w:jc w:val="left"/>
              <w:rPr>
                <w:rFonts w:ascii="宋体" w:hAnsi="宋体" w:cs="宋体"/>
              </w:rPr>
            </w:pPr>
            <w:r>
              <w:rPr>
                <w:rFonts w:hint="eastAsia" w:ascii="宋体" w:hAnsi="宋体" w:cs="宋体"/>
              </w:rPr>
              <w:t>考取、保送研究生的学生数占比，取平均值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vAlign w:val="center"/>
          </w:tcPr>
          <w:p>
            <w:pPr>
              <w:snapToGrid w:val="0"/>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6.3代表性毕业生简介（0.4）</w:t>
            </w:r>
          </w:p>
        </w:tc>
        <w:tc>
          <w:tcPr>
            <w:tcW w:w="1219" w:type="pct"/>
            <w:vAlign w:val="center"/>
          </w:tcPr>
          <w:p>
            <w:pPr>
              <w:snapToGrid w:val="0"/>
              <w:jc w:val="left"/>
              <w:rPr>
                <w:rFonts w:ascii="宋体" w:hAnsi="宋体" w:cs="宋体"/>
              </w:rPr>
            </w:pPr>
            <w:r>
              <w:rPr>
                <w:rFonts w:hint="eastAsia" w:ascii="宋体" w:hAnsi="宋体" w:cs="宋体"/>
              </w:rPr>
              <w:t>6.3.1 十名优秀毕业生简介（1.0）</w:t>
            </w:r>
          </w:p>
        </w:tc>
        <w:tc>
          <w:tcPr>
            <w:tcW w:w="2335" w:type="pct"/>
            <w:vAlign w:val="center"/>
          </w:tcPr>
          <w:p>
            <w:pPr>
              <w:snapToGrid w:val="0"/>
              <w:jc w:val="left"/>
              <w:rPr>
                <w:rFonts w:ascii="宋体" w:hAnsi="宋体" w:cs="宋体"/>
              </w:rPr>
            </w:pPr>
            <w:r>
              <w:rPr>
                <w:rFonts w:hint="eastAsia" w:ascii="宋体" w:hAnsi="宋体" w:cs="宋体"/>
              </w:rPr>
              <w:t>提供典型案例，考察毕业生的社会贡献，每人简介300字以内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1264" w:hRule="atLeast"/>
        </w:trPr>
        <w:tc>
          <w:tcPr>
            <w:tcW w:w="561" w:type="pct"/>
            <w:vMerge w:val="restart"/>
            <w:vAlign w:val="center"/>
          </w:tcPr>
          <w:p>
            <w:pPr>
              <w:snapToGrid w:val="0"/>
              <w:rPr>
                <w:rFonts w:ascii="宋体" w:hAnsi="宋体" w:cs="宋体"/>
              </w:rPr>
            </w:pPr>
            <w:r>
              <w:rPr>
                <w:rFonts w:hint="eastAsia" w:ascii="宋体" w:hAnsi="宋体" w:cs="宋体"/>
              </w:rPr>
              <w:t>7.教学管理与质量保障（0.1）</w:t>
            </w:r>
          </w:p>
        </w:tc>
        <w:tc>
          <w:tcPr>
            <w:tcW w:w="884" w:type="pct"/>
            <w:vMerge w:val="restart"/>
            <w:vAlign w:val="center"/>
          </w:tcPr>
          <w:p>
            <w:pPr>
              <w:snapToGrid w:val="0"/>
              <w:rPr>
                <w:rFonts w:ascii="宋体" w:hAnsi="宋体" w:cs="宋体"/>
              </w:rPr>
            </w:pPr>
            <w:r>
              <w:rPr>
                <w:rFonts w:hint="eastAsia" w:ascii="宋体" w:hAnsi="宋体" w:cs="宋体"/>
              </w:rPr>
              <w:t>7.1教学管理</w:t>
            </w:r>
          </w:p>
          <w:p>
            <w:pPr>
              <w:snapToGrid w:val="0"/>
              <w:rPr>
                <w:rFonts w:ascii="宋体" w:hAnsi="宋体" w:cs="宋体"/>
              </w:rPr>
            </w:pPr>
            <w:r>
              <w:rPr>
                <w:rFonts w:hint="eastAsia" w:ascii="宋体" w:hAnsi="宋体" w:cs="宋体"/>
              </w:rPr>
              <w:t>（0.5）</w:t>
            </w:r>
          </w:p>
        </w:tc>
        <w:tc>
          <w:tcPr>
            <w:tcW w:w="1219" w:type="pct"/>
            <w:vAlign w:val="center"/>
          </w:tcPr>
          <w:p>
            <w:pPr>
              <w:snapToGrid w:val="0"/>
              <w:jc w:val="left"/>
              <w:rPr>
                <w:rFonts w:ascii="宋体" w:hAnsi="宋体" w:cs="宋体"/>
              </w:rPr>
            </w:pPr>
            <w:r>
              <w:rPr>
                <w:rFonts w:hint="eastAsia" w:ascii="宋体" w:hAnsi="宋体" w:cs="宋体"/>
              </w:rPr>
              <w:t>7.1.1近四年该专业日常教学环节情况（0.3）</w:t>
            </w:r>
          </w:p>
        </w:tc>
        <w:tc>
          <w:tcPr>
            <w:tcW w:w="2335" w:type="pct"/>
            <w:vAlign w:val="center"/>
          </w:tcPr>
          <w:p>
            <w:pPr>
              <w:snapToGrid w:val="0"/>
              <w:jc w:val="left"/>
              <w:rPr>
                <w:rFonts w:ascii="宋体" w:hAnsi="宋体" w:cs="宋体"/>
              </w:rPr>
            </w:pPr>
            <w:r>
              <w:rPr>
                <w:rFonts w:hint="eastAsia" w:ascii="宋体" w:hAnsi="宋体" w:cs="宋体"/>
              </w:rPr>
              <w:t>由专业自行确定5门专业必修课，提供课程的教学大纲、教案、教学日历、作业布置与批改情况、试题与试卷分析、学生实践创新能力培养等支撑材料。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704" w:hRule="atLeast"/>
        </w:trPr>
        <w:tc>
          <w:tcPr>
            <w:tcW w:w="561" w:type="pct"/>
            <w:vMerge w:val="continue"/>
          </w:tcPr>
          <w:p>
            <w:pPr>
              <w:snapToGrid w:val="0"/>
              <w:jc w:val="left"/>
              <w:rPr>
                <w:rFonts w:ascii="宋体" w:hAnsi="宋体" w:cs="宋体"/>
              </w:rPr>
            </w:pPr>
          </w:p>
        </w:tc>
        <w:tc>
          <w:tcPr>
            <w:tcW w:w="884" w:type="pct"/>
            <w:vMerge w:val="continue"/>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7.1.2教师遵守校纪校规情况（0.2）</w:t>
            </w:r>
          </w:p>
        </w:tc>
        <w:tc>
          <w:tcPr>
            <w:tcW w:w="2335" w:type="pct"/>
            <w:vAlign w:val="center"/>
          </w:tcPr>
          <w:p>
            <w:pPr>
              <w:snapToGrid w:val="0"/>
              <w:jc w:val="left"/>
              <w:rPr>
                <w:rFonts w:ascii="宋体" w:hAnsi="宋体" w:cs="宋体"/>
              </w:rPr>
            </w:pPr>
            <w:r>
              <w:rPr>
                <w:rFonts w:hint="eastAsia" w:ascii="宋体" w:hAnsi="宋体" w:cs="宋体"/>
              </w:rPr>
              <w:t>教师教学差错或事故人次占专任教师比例；报送学生成绩、无差错等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704" w:hRule="atLeast"/>
        </w:trPr>
        <w:tc>
          <w:tcPr>
            <w:tcW w:w="561" w:type="pct"/>
            <w:vMerge w:val="continue"/>
          </w:tcPr>
          <w:p>
            <w:pPr>
              <w:snapToGrid w:val="0"/>
              <w:jc w:val="left"/>
              <w:rPr>
                <w:rFonts w:ascii="宋体" w:hAnsi="宋体" w:cs="宋体"/>
              </w:rPr>
            </w:pPr>
          </w:p>
        </w:tc>
        <w:tc>
          <w:tcPr>
            <w:tcW w:w="884" w:type="pct"/>
            <w:vMerge w:val="continue"/>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7.1.3 学风考风情况</w:t>
            </w:r>
          </w:p>
          <w:p>
            <w:pPr>
              <w:snapToGrid w:val="0"/>
              <w:jc w:val="left"/>
              <w:rPr>
                <w:rFonts w:ascii="宋体" w:hAnsi="宋体" w:cs="宋体"/>
              </w:rPr>
            </w:pPr>
            <w:r>
              <w:rPr>
                <w:rFonts w:hint="eastAsia" w:ascii="宋体" w:hAnsi="宋体" w:cs="宋体"/>
              </w:rPr>
              <w:t>（0.3）</w:t>
            </w:r>
          </w:p>
        </w:tc>
        <w:tc>
          <w:tcPr>
            <w:tcW w:w="2335" w:type="pct"/>
            <w:vAlign w:val="center"/>
          </w:tcPr>
          <w:p>
            <w:pPr>
              <w:snapToGrid w:val="0"/>
              <w:jc w:val="left"/>
              <w:rPr>
                <w:rFonts w:ascii="宋体" w:hAnsi="宋体" w:cs="宋体"/>
              </w:rPr>
            </w:pPr>
            <w:r>
              <w:rPr>
                <w:rFonts w:hint="eastAsia" w:ascii="宋体" w:hAnsi="宋体" w:cs="宋体"/>
              </w:rPr>
              <w:t>教学秩序、论文（查重、盲审等）等教学检查、学生学风考风等情况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689" w:hRule="atLeast"/>
        </w:trPr>
        <w:tc>
          <w:tcPr>
            <w:tcW w:w="561" w:type="pct"/>
            <w:vMerge w:val="continue"/>
          </w:tcPr>
          <w:p>
            <w:pPr>
              <w:snapToGrid w:val="0"/>
              <w:jc w:val="left"/>
              <w:rPr>
                <w:rFonts w:ascii="宋体" w:hAnsi="宋体" w:cs="宋体"/>
              </w:rPr>
            </w:pPr>
          </w:p>
        </w:tc>
        <w:tc>
          <w:tcPr>
            <w:tcW w:w="884" w:type="pct"/>
            <w:vMerge w:val="continue"/>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7.1.4 本专业对其他专业的贡献情况（0.2）</w:t>
            </w:r>
          </w:p>
        </w:tc>
        <w:tc>
          <w:tcPr>
            <w:tcW w:w="2335" w:type="pct"/>
            <w:vAlign w:val="center"/>
          </w:tcPr>
          <w:p>
            <w:pPr>
              <w:snapToGrid w:val="0"/>
              <w:jc w:val="left"/>
              <w:rPr>
                <w:rFonts w:ascii="宋体" w:hAnsi="宋体" w:cs="宋体"/>
              </w:rPr>
            </w:pPr>
            <w:r>
              <w:rPr>
                <w:rFonts w:hint="eastAsia" w:ascii="宋体" w:hAnsi="宋体" w:cs="宋体"/>
              </w:rPr>
              <w:t>考察专业为其他专业开放实验室、开设II类通识课、个性课、创新学分等课程情况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tcPr>
          <w:p>
            <w:pPr>
              <w:snapToGrid w:val="0"/>
              <w:jc w:val="left"/>
              <w:rPr>
                <w:rFonts w:ascii="宋体" w:hAnsi="宋体" w:cs="宋体"/>
              </w:rPr>
            </w:pPr>
          </w:p>
        </w:tc>
        <w:tc>
          <w:tcPr>
            <w:tcW w:w="884" w:type="pct"/>
            <w:vMerge w:val="restart"/>
            <w:vAlign w:val="center"/>
          </w:tcPr>
          <w:p>
            <w:pPr>
              <w:snapToGrid w:val="0"/>
              <w:jc w:val="left"/>
              <w:rPr>
                <w:rFonts w:ascii="宋体" w:hAnsi="宋体" w:cs="宋体"/>
              </w:rPr>
            </w:pPr>
            <w:r>
              <w:rPr>
                <w:rFonts w:hint="eastAsia" w:ascii="宋体" w:hAnsi="宋体" w:cs="宋体"/>
              </w:rPr>
              <w:t>7.2教学质量保障（0.5）</w:t>
            </w:r>
          </w:p>
        </w:tc>
        <w:tc>
          <w:tcPr>
            <w:tcW w:w="1219" w:type="pct"/>
            <w:vAlign w:val="center"/>
          </w:tcPr>
          <w:p>
            <w:pPr>
              <w:snapToGrid w:val="0"/>
              <w:jc w:val="left"/>
              <w:rPr>
                <w:rFonts w:ascii="宋体" w:hAnsi="宋体" w:cs="宋体"/>
              </w:rPr>
            </w:pPr>
            <w:r>
              <w:rPr>
                <w:rFonts w:hint="eastAsia" w:ascii="宋体" w:hAnsi="宋体" w:cs="宋体"/>
              </w:rPr>
              <w:t>7.2.1质量标准（0.2）</w:t>
            </w:r>
          </w:p>
        </w:tc>
        <w:tc>
          <w:tcPr>
            <w:tcW w:w="2335" w:type="pct"/>
            <w:vAlign w:val="center"/>
          </w:tcPr>
          <w:p>
            <w:pPr>
              <w:snapToGrid w:val="0"/>
              <w:jc w:val="left"/>
              <w:rPr>
                <w:rFonts w:ascii="宋体" w:hAnsi="宋体" w:cs="宋体"/>
              </w:rPr>
            </w:pPr>
            <w:r>
              <w:rPr>
                <w:rFonts w:hint="eastAsia" w:ascii="宋体" w:hAnsi="宋体" w:cs="宋体"/>
              </w:rPr>
              <w:t>提供质量标准文本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7.2.2质量监控与评价（0.4）</w:t>
            </w:r>
          </w:p>
        </w:tc>
        <w:tc>
          <w:tcPr>
            <w:tcW w:w="2335" w:type="pct"/>
            <w:vAlign w:val="center"/>
          </w:tcPr>
          <w:p>
            <w:pPr>
              <w:snapToGrid w:val="0"/>
              <w:jc w:val="left"/>
              <w:rPr>
                <w:rFonts w:ascii="宋体" w:hAnsi="宋体" w:cs="宋体"/>
              </w:rPr>
            </w:pPr>
            <w:r>
              <w:rPr>
                <w:rFonts w:hint="eastAsia" w:ascii="宋体" w:hAnsi="宋体" w:cs="宋体"/>
              </w:rPr>
              <w:t>提供监测评估报告文本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tcPr>
          <w:p>
            <w:pPr>
              <w:snapToGrid w:val="0"/>
              <w:jc w:val="left"/>
              <w:rPr>
                <w:rFonts w:ascii="宋体" w:hAnsi="宋体" w:cs="宋体"/>
              </w:rPr>
            </w:pPr>
          </w:p>
        </w:tc>
        <w:tc>
          <w:tcPr>
            <w:tcW w:w="884" w:type="pct"/>
            <w:vMerge w:val="continue"/>
            <w:vAlign w:val="center"/>
          </w:tcPr>
          <w:p>
            <w:pPr>
              <w:snapToGrid w:val="0"/>
              <w:jc w:val="left"/>
              <w:rPr>
                <w:rFonts w:ascii="宋体" w:hAnsi="宋体" w:cs="宋体"/>
              </w:rPr>
            </w:pPr>
          </w:p>
        </w:tc>
        <w:tc>
          <w:tcPr>
            <w:tcW w:w="1219" w:type="pct"/>
            <w:vAlign w:val="center"/>
          </w:tcPr>
          <w:p>
            <w:pPr>
              <w:snapToGrid w:val="0"/>
              <w:jc w:val="left"/>
              <w:rPr>
                <w:rFonts w:ascii="宋体" w:hAnsi="宋体" w:cs="宋体"/>
              </w:rPr>
            </w:pPr>
            <w:r>
              <w:rPr>
                <w:rFonts w:hint="eastAsia" w:ascii="宋体" w:hAnsi="宋体" w:cs="宋体"/>
              </w:rPr>
              <w:t>7.2.3评价反馈与改进情况（0.4）</w:t>
            </w:r>
          </w:p>
        </w:tc>
        <w:tc>
          <w:tcPr>
            <w:tcW w:w="2335" w:type="pct"/>
            <w:vAlign w:val="center"/>
          </w:tcPr>
          <w:p>
            <w:pPr>
              <w:snapToGrid w:val="0"/>
              <w:jc w:val="left"/>
              <w:rPr>
                <w:rFonts w:ascii="宋体" w:hAnsi="宋体" w:cs="宋体"/>
              </w:rPr>
            </w:pPr>
            <w:r>
              <w:rPr>
                <w:rFonts w:hint="eastAsia" w:ascii="宋体" w:hAnsi="宋体" w:cs="宋体"/>
              </w:rPr>
              <w:t>重点考察课程目标达成微循环、毕业要求达成内循环和培养目标达成外循环构成的持续改进机制和成效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restart"/>
            <w:vAlign w:val="center"/>
          </w:tcPr>
          <w:p>
            <w:pPr>
              <w:snapToGrid w:val="0"/>
              <w:rPr>
                <w:rFonts w:ascii="宋体" w:hAnsi="宋体" w:cs="宋体"/>
              </w:rPr>
            </w:pPr>
            <w:r>
              <w:rPr>
                <w:rFonts w:hint="eastAsia" w:ascii="宋体" w:hAnsi="宋体" w:cs="宋体"/>
              </w:rPr>
              <w:t>8.特色与社会声誉（0.05）</w:t>
            </w:r>
          </w:p>
        </w:tc>
        <w:tc>
          <w:tcPr>
            <w:tcW w:w="884" w:type="pct"/>
            <w:vAlign w:val="center"/>
          </w:tcPr>
          <w:p>
            <w:pPr>
              <w:snapToGrid w:val="0"/>
              <w:jc w:val="left"/>
              <w:rPr>
                <w:rFonts w:ascii="宋体" w:hAnsi="宋体" w:cs="宋体"/>
              </w:rPr>
            </w:pPr>
            <w:r>
              <w:rPr>
                <w:rFonts w:hint="eastAsia" w:ascii="宋体" w:hAnsi="宋体" w:cs="宋体"/>
              </w:rPr>
              <w:t>8.1 招生录取情况（0.5）</w:t>
            </w:r>
          </w:p>
        </w:tc>
        <w:tc>
          <w:tcPr>
            <w:tcW w:w="1219" w:type="pct"/>
            <w:vAlign w:val="center"/>
          </w:tcPr>
          <w:p>
            <w:pPr>
              <w:snapToGrid w:val="0"/>
              <w:jc w:val="left"/>
              <w:rPr>
                <w:rFonts w:ascii="宋体" w:hAnsi="宋体" w:cs="宋体"/>
              </w:rPr>
            </w:pPr>
            <w:r>
              <w:rPr>
                <w:rFonts w:hint="eastAsia" w:ascii="宋体" w:hAnsi="宋体" w:cs="宋体"/>
              </w:rPr>
              <w:t>8.1.1 近四年国家统一高考录取的本专业学生入学平均（标准）分数（1.0）</w:t>
            </w:r>
          </w:p>
        </w:tc>
        <w:tc>
          <w:tcPr>
            <w:tcW w:w="2335" w:type="pct"/>
            <w:vAlign w:val="center"/>
          </w:tcPr>
          <w:p>
            <w:pPr>
              <w:snapToGrid w:val="0"/>
              <w:jc w:val="left"/>
              <w:rPr>
                <w:rFonts w:ascii="宋体" w:hAnsi="宋体" w:cs="宋体"/>
              </w:rPr>
            </w:pPr>
            <w:r>
              <w:rPr>
                <w:rFonts w:hint="eastAsia" w:ascii="宋体" w:hAnsi="宋体" w:cs="宋体"/>
              </w:rPr>
              <w:t xml:space="preserve">本专业每名学生高考总分（不包括加分）除以该生所在省高考满分值（文、理分科）后的标准分的平均值。（不含办学地点不在母体学校的联合培养学生、不含专升本学生）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57" w:type="dxa"/>
            <w:bottom w:w="40" w:type="dxa"/>
            <w:right w:w="57" w:type="dxa"/>
          </w:tblCellMar>
        </w:tblPrEx>
        <w:trPr>
          <w:cantSplit/>
          <w:trHeight w:val="340" w:hRule="atLeast"/>
        </w:trPr>
        <w:tc>
          <w:tcPr>
            <w:tcW w:w="561" w:type="pct"/>
            <w:vMerge w:val="continue"/>
          </w:tcPr>
          <w:p>
            <w:pPr>
              <w:snapToGrid w:val="0"/>
              <w:jc w:val="left"/>
              <w:rPr>
                <w:rFonts w:ascii="宋体" w:hAnsi="宋体" w:cs="宋体"/>
              </w:rPr>
            </w:pPr>
          </w:p>
        </w:tc>
        <w:tc>
          <w:tcPr>
            <w:tcW w:w="884" w:type="pct"/>
            <w:vAlign w:val="center"/>
          </w:tcPr>
          <w:p>
            <w:pPr>
              <w:snapToGrid w:val="0"/>
              <w:jc w:val="left"/>
              <w:rPr>
                <w:rFonts w:ascii="宋体" w:hAnsi="宋体" w:cs="宋体"/>
              </w:rPr>
            </w:pPr>
            <w:r>
              <w:rPr>
                <w:rFonts w:hint="eastAsia" w:ascii="宋体" w:hAnsi="宋体" w:cs="宋体"/>
              </w:rPr>
              <w:t>8.2专业特色（0.5）</w:t>
            </w:r>
          </w:p>
        </w:tc>
        <w:tc>
          <w:tcPr>
            <w:tcW w:w="1219" w:type="pct"/>
            <w:vAlign w:val="center"/>
          </w:tcPr>
          <w:p>
            <w:pPr>
              <w:snapToGrid w:val="0"/>
              <w:jc w:val="left"/>
              <w:rPr>
                <w:rFonts w:ascii="宋体" w:hAnsi="宋体" w:cs="宋体"/>
              </w:rPr>
            </w:pPr>
            <w:r>
              <w:rPr>
                <w:rFonts w:hint="eastAsia" w:ascii="宋体" w:hAnsi="宋体" w:cs="宋体"/>
              </w:rPr>
              <w:t>8.2.1专业改革与创新、专业特色（1.0）</w:t>
            </w:r>
          </w:p>
        </w:tc>
        <w:tc>
          <w:tcPr>
            <w:tcW w:w="2335" w:type="pct"/>
            <w:vAlign w:val="center"/>
          </w:tcPr>
          <w:p>
            <w:pPr>
              <w:snapToGrid w:val="0"/>
              <w:jc w:val="left"/>
              <w:rPr>
                <w:rFonts w:ascii="宋体" w:hAnsi="宋体" w:cs="宋体"/>
              </w:rPr>
            </w:pPr>
            <w:r>
              <w:rPr>
                <w:rFonts w:hint="eastAsia" w:ascii="宋体" w:hAnsi="宋体" w:cs="宋体"/>
              </w:rPr>
              <w:t>在专业改革与建设实践中培育和凝练出的专业特色及其效果说明</w:t>
            </w:r>
          </w:p>
        </w:tc>
      </w:tr>
    </w:tbl>
    <w:p>
      <w:pPr>
        <w:spacing w:line="560" w:lineRule="exact"/>
        <w:rPr>
          <w:rFonts w:ascii="宋体" w:hAnsi="宋体" w:cs="宋体"/>
          <w:b/>
          <w:bCs/>
          <w:sz w:val="32"/>
          <w:szCs w:val="32"/>
        </w:rPr>
      </w:pPr>
    </w:p>
    <w:p>
      <w:pPr>
        <w:spacing w:line="560" w:lineRule="exact"/>
        <w:rPr>
          <w:rFonts w:ascii="宋体" w:hAnsi="宋体" w:cs="宋体"/>
          <w:b/>
          <w:bCs/>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ZDU2YzFmOWQ3MGYwZGU1ODYxYjZlZGI4YTIyNDAifQ=="/>
  </w:docVars>
  <w:rsids>
    <w:rsidRoot w:val="35FA4023"/>
    <w:rsid w:val="0018247D"/>
    <w:rsid w:val="001E5F7C"/>
    <w:rsid w:val="0022408C"/>
    <w:rsid w:val="002953EC"/>
    <w:rsid w:val="003A2F6F"/>
    <w:rsid w:val="005D59D8"/>
    <w:rsid w:val="00684FDE"/>
    <w:rsid w:val="00A46CB2"/>
    <w:rsid w:val="00E92E45"/>
    <w:rsid w:val="01721FCC"/>
    <w:rsid w:val="04840BF7"/>
    <w:rsid w:val="05273F96"/>
    <w:rsid w:val="098C2FDB"/>
    <w:rsid w:val="0FF57E4B"/>
    <w:rsid w:val="11447845"/>
    <w:rsid w:val="13AA5959"/>
    <w:rsid w:val="189F788C"/>
    <w:rsid w:val="198509FA"/>
    <w:rsid w:val="1EBE5AFE"/>
    <w:rsid w:val="1F386354"/>
    <w:rsid w:val="20046EB9"/>
    <w:rsid w:val="24B809A7"/>
    <w:rsid w:val="25502E51"/>
    <w:rsid w:val="2A1A518F"/>
    <w:rsid w:val="2A35527C"/>
    <w:rsid w:val="2A8D3BB3"/>
    <w:rsid w:val="2B496BF1"/>
    <w:rsid w:val="2ECA319B"/>
    <w:rsid w:val="33563E8C"/>
    <w:rsid w:val="35FA4023"/>
    <w:rsid w:val="36C505C0"/>
    <w:rsid w:val="395F1B47"/>
    <w:rsid w:val="3D2B08D8"/>
    <w:rsid w:val="437D62C0"/>
    <w:rsid w:val="47490A0A"/>
    <w:rsid w:val="4C9864B5"/>
    <w:rsid w:val="4CEA67EB"/>
    <w:rsid w:val="554F6F09"/>
    <w:rsid w:val="561A1EEF"/>
    <w:rsid w:val="60567FC7"/>
    <w:rsid w:val="63B76FCF"/>
    <w:rsid w:val="646507D9"/>
    <w:rsid w:val="693A33BA"/>
    <w:rsid w:val="699439DA"/>
    <w:rsid w:val="6EC40D91"/>
    <w:rsid w:val="77E628F9"/>
    <w:rsid w:val="77F2551C"/>
    <w:rsid w:val="79346574"/>
    <w:rsid w:val="796A5D97"/>
    <w:rsid w:val="79BC6C95"/>
    <w:rsid w:val="7B2B538A"/>
    <w:rsid w:val="7BB76F79"/>
    <w:rsid w:val="7C535314"/>
    <w:rsid w:val="7EBA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674</Words>
  <Characters>3848</Characters>
  <Lines>32</Lines>
  <Paragraphs>9</Paragraphs>
  <TotalTime>30</TotalTime>
  <ScaleCrop>false</ScaleCrop>
  <LinksUpToDate>false</LinksUpToDate>
  <CharactersWithSpaces>4513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2022-11-25T07:00:00Z</dcterms:created>
  <dc:creator>督导</dc:creator>
  <cp:lastModifiedBy>龚京琳</cp:lastModifiedBy>
  <cp:lastPrinted>2023-11-30T02:13:00Z</cp:lastPrinted>
  <dcterms:modified xsi:type="dcterms:W3CDTF">2023-11-30T03:35:09Z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F39A32681A8C4D11A402C0900DBE5BFE_13</vt:lpwstr>
  </property>
</Properties>
</file>