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B1891">
      <w:pPr>
        <w:jc w:val="center"/>
        <w:rPr>
          <w:rFonts w:ascii="宋体" w:hAnsi="宋体" w:cs="仿宋"/>
          <w:color w:val="FF0000"/>
          <w:w w:val="80"/>
          <w:sz w:val="84"/>
          <w:szCs w:val="84"/>
        </w:rPr>
      </w:pPr>
      <w:r>
        <w:rPr>
          <w:rFonts w:hint="eastAsia" w:ascii="宋体" w:hAnsi="宋体" w:cs="仿宋"/>
          <w:color w:val="FF0000"/>
          <w:w w:val="80"/>
          <w:sz w:val="84"/>
          <w:szCs w:val="84"/>
        </w:rPr>
        <w:t>南 昌 大 学 部 门 函 件</w:t>
      </w:r>
    </w:p>
    <w:p w14:paraId="6B9A29BF">
      <w:pPr>
        <w:tabs>
          <w:tab w:val="left" w:pos="180"/>
        </w:tabs>
        <w:jc w:val="center"/>
        <w:rPr>
          <w:sz w:val="28"/>
          <w:szCs w:val="28"/>
          <w:u w:val="thick"/>
        </w:rPr>
      </w:pPr>
      <w:r>
        <w:rPr>
          <w:sz w:val="28"/>
        </w:rPr>
        <w:pict>
          <v:line id="直线 4" o:spid="_x0000_s1027" o:spt="20" style="position:absolute;left:0pt;flip:y;margin-left:0pt;margin-top:25.4pt;height:0.7pt;width:442.2pt;z-index:251661312;mso-width-relative:page;mso-height-relative:page;" stroked="t" coordsize="21600,21600" o:gfxdata="UEsDBAoAAAAAAIdO4kAAAAAAAAAAAAAAAAAEAAAAZHJzL1BLAwQUAAAACACHTuJAQK+6VtYAAAAG&#10;AQAADwAAAGRycy9kb3ducmV2LnhtbE2PwU7DMBBE70j8g7VIXCpqJypVFOL0gMQFiQNuK3HcxiaJ&#10;GttRvG2Tv2c5wXFnRjNvq93sB3F1U+pj0JCtFQgXmmj70Go47N+eChCJMFgcYnAaFpdgV9/fVVja&#10;eAuf7mqoFVwSUokaOqKxlDI1nfOY1nF0gb3vOHkkPqdW2glvXO4HmSu1lR77wAsdju61c83ZXLwG&#10;o3B5zw7HZV7R6rz/Mh/muCWtHx8y9QKC3Ex/YfjFZ3SomekUL8EmMWjgR0jDs2J+dotiswFxYiHP&#10;QdaV/I9f/wBQSwMEFAAAAAgAh07iQC/xErTbAQAAmgMAAA4AAABkcnMvZTJvRG9jLnhtbK1TS44T&#10;MRDdI3EHy3vSSTQZZVrpzGJC2CCIxGdf8afbkn9yedLJWbgGKzYcZ65B2Qnht0GIXli2q/yq3qvX&#10;q/ujs+ygEprgOz6bTDlTXgRpfN/xD++3L5acYQYvwQavOn5SyO/Xz5+txtiqeRiClSoxAvHYjrHj&#10;Q86xbRoUg3KAkxCVp6AOyUGmY+obmWAkdGeb+XR624whyZiCUIh0uzkH+bria61Efqs1qsxsx6m3&#10;XNdU131Zm/UK2j5BHIy4tAH/0IUD46noFWoDGdhjMn9AOSNSwKDzRATXBK2NUJUDsZlNf2PzboCo&#10;KhcSB+NVJvx/sOLNYZeYkR2fc+bB0YiePn1++vKV3RRtxogtpTz4XbqcMO5SIXrUyTFtTfxIY6/U&#10;iQw7VmVPV2XVMTNBl4vb2eLuhgYgKLZc3lXhmzNKQYsJ8ysVHCubjlvjC29o4fAaM1Wm1O8p5dp6&#10;Nnb8bjFfECKQbbSFTFsXiQj6vr7FYI3cGmvLC0z9/sEmdgAywnY7pa/wI9xf0kqRDeBwzquhs0UG&#10;BfKllyyfIknkycu8tOCU5Mwqsn7ZESC0GYz9m0wqbT11UCQ+i1p2+yBPNJDHmEw/kBKz2mWJkAFq&#10;vxezFof9fK5IP36p9T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Ar7pW1gAAAAYBAAAPAAAAAAAA&#10;AAEAIAAAACIAAABkcnMvZG93bnJldi54bWxQSwECFAAUAAAACACHTuJAL/EStNsBAACaAwAADgAA&#10;AAAAAAABACAAAAAlAQAAZHJzL2Uyb0RvYy54bWxQSwUGAAAAAAYABgBZAQAAcgUAAAAA&#10;">
            <v:path arrowok="t"/>
            <v:fill focussize="0,0"/>
            <v:stroke color="#FF0000"/>
            <v:imagedata o:title=""/>
            <o:lock v:ext="edit"/>
          </v:line>
        </w:pict>
      </w:r>
      <w:r>
        <w:rPr>
          <w:sz w:val="28"/>
        </w:rPr>
        <w:pict>
          <v:line id="直线 3" o:spid="_x0000_s1026" o:spt="20" style="position:absolute;left:0pt;flip:y;margin-left:0pt;margin-top:21pt;height:0.8pt;width:442.2pt;z-index:251660288;mso-width-relative:page;mso-height-relative:page;" stroked="t" coordsize="21600,21600" o:gfxdata="UEsDBAoAAAAAAIdO4kAAAAAAAAAAAAAAAAAEAAAAZHJzL1BLAwQUAAAACACHTuJAxVb1i9MAAAAG&#10;AQAADwAAAGRycy9kb3ducmV2LnhtbE2PMU/DMBCFdyT+g3VIbNRuE6ooxOkAYmBBaii7G1/jiPgc&#10;xU5S/j3HBNPp3Tu99111uPpBLDjFPpCG7UaBQGqD7anTcPp4fShAxGTImiEQavjGCIf69qYypQ0r&#10;HXFpUic4hGJpNLiUxlLK2Dr0Jm7CiMTeJUzeJJZTJ+1kVg73g9wptZfe9MQNzoz47LD9amav4ZOy&#10;Obw9vuRqaY6jyS7v6+pQ6/u7rXoCkfCa/o7hF5/RoWamc5jJRjFo4EeShnzHk92iyHMQZ15ke5B1&#10;Jf/j1z9QSwMEFAAAAAgAh07iQPXpjqLcAQAAnAMAAA4AAABkcnMvZTJvRG9jLnhtbK1TS27bMBDd&#10;F+gdCO5rSU5stILlLOK6m6I10LT7MT8SAf5AMpZ9ll6jq256nFyjQ8pxf5siiBYEOZ83896MVjdH&#10;o8lBhKic7WgzqykRljmubN/Rz3fbV68piQksB+2s6OhJRHqzfvliNfpWzN3gNBeBIIiN7eg7OqTk&#10;26qKbBAG4sx5YdEpXTCQ8Bn6igcYEd3oal7Xy2p0gfvgmIgRrZvJSdcFX0rB0kcpo0hEdxR7S+UM&#10;5dzns1qvoO0D+EGxcxvwhC4MKItFL1AbSEDug/oHyigWXHQyzZgzlZNSMVE4IJum/ovNpwG8KFxQ&#10;nOgvMsXng2UfDrtAFMfZUWLB4Igevn57+P6DXGVtRh9bDLm1u3B+Rb8LmehRBkOkVv5LTs0WJEOO&#10;RdnTRVlxTIShcbFsFm+ucQAMfU3dLIvy1QSTk32I6Z1whuRLR7WymTi0cHgfE5bG0MeQbNaWjB2d&#10;L67rjAm4OFJDwqvxSCXaviRHpxXfKq1zSgz9/lYHcgBche22xi8zROA/wnKVDcRhiiuuaUkGAfyt&#10;5SSdPIpkcZtp7sEITokWuPz5hoDQJlD6fyKxtLbYQRZ5kjXf9o6fcCT3Pqh+QCma0mX24AqUfs/r&#10;mnfs93dB+vVTrX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xVb1i9MAAAAGAQAADwAAAAAAAAAB&#10;ACAAAAAiAAAAZHJzL2Rvd25yZXYueG1sUEsBAhQAFAAAAAgAh07iQPXpjqLcAQAAnAMAAA4AAAAA&#10;AAAAAQAgAAAAIgEAAGRycy9lMm9Eb2MueG1sUEsFBgAAAAAGAAYAWQEAAHAFAAAAAA==&#10;">
            <v:path arrowok="t"/>
            <v:fill focussize="0,0"/>
            <v:stroke weight="2pt" color="#FF0000"/>
            <v:imagedata o:title=""/>
            <o:lock v:ext="edit"/>
          </v:line>
        </w:pict>
      </w:r>
    </w:p>
    <w:p w14:paraId="144071A3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南大教函</w:t>
      </w:r>
      <w:r>
        <w:rPr>
          <w:rFonts w:hint="eastAsia" w:ascii="仿宋_GB2312" w:hAnsi="宋体" w:eastAsia="仿宋_GB2312"/>
          <w:sz w:val="32"/>
          <w:szCs w:val="32"/>
        </w:rPr>
        <w:t>〔20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4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130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 w14:paraId="07542767">
      <w:pPr>
        <w:spacing w:line="560" w:lineRule="atLeas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关于加强20</w:t>
      </w:r>
      <w:r>
        <w:rPr>
          <w:rFonts w:ascii="宋体" w:hAnsi="宋体" w:eastAsia="宋体" w:cs="Times New Roman"/>
          <w:b/>
          <w:sz w:val="36"/>
          <w:szCs w:val="36"/>
        </w:rPr>
        <w:t>24</w:t>
      </w:r>
      <w:r>
        <w:rPr>
          <w:rFonts w:hint="eastAsia" w:ascii="宋体" w:hAnsi="宋体" w:eastAsia="宋体" w:cs="Times New Roman"/>
          <w:b/>
          <w:sz w:val="36"/>
          <w:szCs w:val="36"/>
        </w:rPr>
        <w:t>-202</w:t>
      </w:r>
      <w:r>
        <w:rPr>
          <w:rFonts w:ascii="宋体" w:hAnsi="宋体" w:eastAsia="宋体" w:cs="Times New Roman"/>
          <w:b/>
          <w:sz w:val="36"/>
          <w:szCs w:val="36"/>
        </w:rPr>
        <w:t>5</w:t>
      </w:r>
      <w:r>
        <w:rPr>
          <w:rFonts w:hint="eastAsia" w:ascii="宋体" w:hAnsi="宋体" w:eastAsia="宋体" w:cs="Times New Roman"/>
          <w:b/>
          <w:sz w:val="36"/>
          <w:szCs w:val="36"/>
        </w:rPr>
        <w:t>学年秋季学期课堂教学管理的</w:t>
      </w:r>
    </w:p>
    <w:p w14:paraId="42783BD6">
      <w:pPr>
        <w:spacing w:line="560" w:lineRule="atLeas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通</w:t>
      </w:r>
      <w:r>
        <w:rPr>
          <w:rFonts w:ascii="宋体" w:hAnsi="宋体" w:eastAsia="宋体" w:cs="Times New Roman"/>
          <w:b/>
          <w:sz w:val="36"/>
          <w:szCs w:val="36"/>
        </w:rPr>
        <w:t xml:space="preserve">  </w:t>
      </w:r>
      <w:r>
        <w:rPr>
          <w:rFonts w:hint="eastAsia" w:ascii="宋体" w:hAnsi="宋体" w:eastAsia="宋体" w:cs="Times New Roman"/>
          <w:b/>
          <w:sz w:val="36"/>
          <w:szCs w:val="36"/>
        </w:rPr>
        <w:t>知</w:t>
      </w:r>
    </w:p>
    <w:p w14:paraId="199C5B09">
      <w:pPr>
        <w:adjustRightInd w:val="0"/>
        <w:snapToGrid w:val="0"/>
        <w:spacing w:line="560" w:lineRule="exact"/>
        <w:jc w:val="left"/>
        <w:rPr>
          <w:rFonts w:ascii="仿宋_GB2312" w:eastAsia="仿宋_GB2312" w:cs="仿宋_GB2312" w:hAnsiTheme="majorEastAsia"/>
          <w:snapToGrid w:val="0"/>
          <w:kern w:val="0"/>
          <w:sz w:val="32"/>
          <w:szCs w:val="32"/>
        </w:rPr>
      </w:pPr>
      <w:r>
        <w:rPr>
          <w:rFonts w:hint="eastAsia" w:ascii="仿宋_GB2312" w:eastAsia="仿宋_GB2312" w:cs="仿宋_GB2312" w:hAnsiTheme="majorEastAsia"/>
          <w:snapToGrid w:val="0"/>
          <w:kern w:val="0"/>
          <w:sz w:val="32"/>
          <w:szCs w:val="32"/>
        </w:rPr>
        <w:t>各教学单位 ：</w:t>
      </w:r>
    </w:p>
    <w:p w14:paraId="1E5D1707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课堂教学是人才培养的主渠道和主阵地，是高校落实立德树人根本任务的关键环节。今年是学校本科教育教学审核评估攻坚年，暑期有 314 间教室新安装了常态化录播系统，对教师课堂教学提出了更高要求。为进一步推进习近平新时代中国特色社会主义思想进课堂，加强课堂教学管理，健全课堂教学管理体系，强化课堂教学纪律，营造良好的教与学氛围，维护正常教学秩序，保障教育教学质量稳步提升，现将有关事项通知如下：</w:t>
      </w:r>
    </w:p>
    <w:p w14:paraId="74492834">
      <w:pPr>
        <w:spacing w:line="560" w:lineRule="exact"/>
        <w:ind w:firstLine="641"/>
        <w:rPr>
          <w:rFonts w:ascii="仿宋_GB2312" w:eastAsia="仿宋_GB2312" w:cs="华文仿宋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cs="华文仿宋" w:hAnsiTheme="majorEastAsia"/>
          <w:b/>
          <w:bCs/>
          <w:sz w:val="32"/>
          <w:szCs w:val="32"/>
        </w:rPr>
        <w:t>一、学生上课</w:t>
      </w:r>
    </w:p>
    <w:p w14:paraId="359849BA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1.学生应按时参加教育教学计划规定的活动。不能按时参加的，应当事先请假并获得相应批准，同时主动向相应的任课教师做出说明。未事先请假或请假但未获得批准而未参加教育教学计划规定活动的，按学校学生纪律处分办法处理。</w:t>
      </w:r>
    </w:p>
    <w:p w14:paraId="2E5141B5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学生请事假，应持有关证明并陈述原因；学生请病假须有校医院证明。请假批准权限为：学生请假三天（含）以内由辅导员（以下同）批准；三天以上七天以内由辅导员审核、学院学生工作负责人审批；八天（含）以上由学院研究决定，并报学生工作处备案。事假不得超过两周。</w:t>
      </w:r>
    </w:p>
    <w:p w14:paraId="7E528E1F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2.对缺交作业累计超过某门课程作业总数的1/3或者缺课累计超过某门课程学时数1/3的学生（被批准“免听”的学生除外），取消该生该课程考核资格。</w:t>
      </w:r>
    </w:p>
    <w:p w14:paraId="40234581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3.学生应遵守课堂纪律，尊重教师，如对教师课堂教学情况有意见或建议，可在课后直接与教师沟通或以书面形式、电子邮件等方式向开课学院（单位）和教学管理部门反映。</w:t>
      </w:r>
    </w:p>
    <w:p w14:paraId="242E44A6">
      <w:pPr>
        <w:spacing w:line="560" w:lineRule="exact"/>
        <w:ind w:firstLine="641"/>
        <w:rPr>
          <w:rFonts w:ascii="仿宋_GB2312" w:eastAsia="仿宋_GB2312" w:cs="华文仿宋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cs="华文仿宋" w:hAnsiTheme="majorEastAsia"/>
          <w:b/>
          <w:bCs/>
          <w:sz w:val="32"/>
          <w:szCs w:val="32"/>
        </w:rPr>
        <w:t>二、教师授课</w:t>
      </w:r>
    </w:p>
    <w:p w14:paraId="1E0C6588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1.教师是课堂教学的第一责任人，应对课堂教学内容、教学质量、课堂纪律全面负责。</w:t>
      </w:r>
    </w:p>
    <w:p w14:paraId="5C9FC1FC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2.教师应严格遵守课堂教学规范，按照课表规定的时间、地点上课，不得迟到、早退，不得随意更改授课时间、地点和教师。确因特殊原因需要调整的，应按照学校有关规定办理调（代）课手续。具体要求详见《南昌大学本科课堂教学管理办法（2023年修订）》。</w:t>
      </w:r>
    </w:p>
    <w:p w14:paraId="77E1C77F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3.教师进入课堂应做到仪表端正，言行文明，不得有《南昌大学教师师德负面清单》（南大字〔2020〕61号）规定禁止的行为，自觉把立德与育人落实到自己的言传身教中。</w:t>
      </w:r>
    </w:p>
    <w:p w14:paraId="2BAF4302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4.教师应改进和完善考核方式，注重对学生学习过程的考核，课程考核方式及成绩评定方式应在第一次授课时告知学生，并加强对考核全过程的管理。</w:t>
      </w:r>
    </w:p>
    <w:p w14:paraId="7DAA5E8B">
      <w:pPr>
        <w:spacing w:line="560" w:lineRule="exact"/>
        <w:ind w:firstLine="641"/>
        <w:rPr>
          <w:rFonts w:ascii="仿宋_GB2312" w:eastAsia="仿宋_GB2312" w:cs="华文仿宋" w:hAnsiTheme="majorEastAsia"/>
          <w:b/>
          <w:bCs/>
          <w:sz w:val="32"/>
          <w:szCs w:val="32"/>
        </w:rPr>
      </w:pPr>
      <w:r>
        <w:rPr>
          <w:rFonts w:hint="eastAsia" w:ascii="仿宋_GB2312" w:eastAsia="仿宋_GB2312" w:cs="华文仿宋" w:hAnsiTheme="majorEastAsia"/>
          <w:b/>
          <w:bCs/>
          <w:sz w:val="32"/>
          <w:szCs w:val="32"/>
        </w:rPr>
        <w:t>三、督查检查</w:t>
      </w:r>
    </w:p>
    <w:p w14:paraId="0BF9EAE4">
      <w:pPr>
        <w:spacing w:line="360" w:lineRule="auto"/>
        <w:ind w:firstLine="640" w:firstLineChars="200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按照《南昌大学校级领导班子成员履职行为规范》和《南昌大学各级领导听课的暂行规定》等相关文件要求，严格落实校领导和教学单位领导听课制度</w:t>
      </w:r>
      <w:r>
        <w:rPr>
          <w:rFonts w:ascii="仿宋" w:hAnsi="仿宋" w:eastAsia="仿宋"/>
          <w:sz w:val="32"/>
          <w:szCs w:val="32"/>
        </w:rPr>
        <w:t>。</w:t>
      </w:r>
    </w:p>
    <w:p w14:paraId="0DB4F1FE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2.健全校、院两级课堂教学督导制度和听课制度，教务处和校、院两级督导不定期对课堂教学的教学进度、教学内容，授课教师上课迟到、提前下课、缺勤、擅自调改课、课堂纪律以及学生到课率、听课等情况进行检查。</w:t>
      </w:r>
    </w:p>
    <w:p w14:paraId="71B4437C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3.加强课堂教学检查结果应用，将检查结果纳入学院年度本科教学工作状态评估指标体系。</w:t>
      </w:r>
    </w:p>
    <w:p w14:paraId="2B8DDE50">
      <w:pPr>
        <w:spacing w:line="560" w:lineRule="exact"/>
        <w:ind w:firstLine="640" w:firstLineChars="200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请各教学单位高度重视教风、学风建设，加强课堂教学秩序管理，建立健全监督检查机制，制定课堂教学督查方案，开展常规性督查活动，并建立课堂教学督查档案，对教学检查中发现的问题要及时总结并采取整改措施。</w:t>
      </w:r>
    </w:p>
    <w:p w14:paraId="7C967D0C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特此通知。</w:t>
      </w:r>
    </w:p>
    <w:p w14:paraId="34483B55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</w:p>
    <w:p w14:paraId="1E0A17BF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>附件：</w:t>
      </w:r>
    </w:p>
    <w:p w14:paraId="5218FD07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ascii="仿宋_GB2312" w:eastAsia="仿宋_GB2312" w:cs="华文仿宋" w:hAnsiTheme="majorEastAsia"/>
          <w:sz w:val="32"/>
          <w:szCs w:val="32"/>
        </w:rPr>
        <w:t>1.</w:t>
      </w:r>
      <w:r>
        <w:rPr>
          <w:rFonts w:hint="eastAsia" w:ascii="仿宋_GB2312" w:eastAsia="仿宋_GB2312" w:cs="华文仿宋" w:hAnsiTheme="majorEastAsia"/>
          <w:sz w:val="32"/>
          <w:szCs w:val="32"/>
        </w:rPr>
        <w:t>中共南昌大学委员会关于印发《南昌大学教师师德考核负面清单》的通知（南大字〔2020〕61 号）</w:t>
      </w:r>
    </w:p>
    <w:p w14:paraId="23AFC485">
      <w:pPr>
        <w:spacing w:line="560" w:lineRule="exact"/>
        <w:ind w:firstLine="641"/>
        <w:rPr>
          <w:rFonts w:ascii="仿宋_GB2312" w:eastAsia="仿宋_GB2312" w:cs="华文仿宋" w:hAnsiTheme="majorEastAsia"/>
          <w:sz w:val="32"/>
          <w:szCs w:val="32"/>
        </w:rPr>
      </w:pPr>
      <w:r>
        <w:rPr>
          <w:rFonts w:hint="eastAsia" w:ascii="仿宋_GB2312" w:eastAsia="仿宋_GB2312" w:cs="华文仿宋" w:hAnsiTheme="majorEastAsia"/>
          <w:sz w:val="32"/>
          <w:szCs w:val="32"/>
        </w:rPr>
        <w:t xml:space="preserve"> </w:t>
      </w:r>
      <w:r>
        <w:rPr>
          <w:rFonts w:ascii="仿宋_GB2312" w:eastAsia="仿宋_GB2312" w:cs="华文仿宋" w:hAnsiTheme="majorEastAsia"/>
          <w:sz w:val="32"/>
          <w:szCs w:val="32"/>
        </w:rPr>
        <w:t>2.</w:t>
      </w:r>
      <w:r>
        <w:rPr>
          <w:rFonts w:hint="eastAsia" w:ascii="仿宋_GB2312" w:eastAsia="仿宋_GB2312" w:cs="华文仿宋" w:hAnsiTheme="majorEastAsia"/>
          <w:sz w:val="32"/>
          <w:szCs w:val="32"/>
        </w:rPr>
        <w:t>关于印发《南昌大学本科课堂教学管理办法（2023年修订）》的通知(</w:t>
      </w:r>
      <w:r>
        <w:rPr>
          <w:rFonts w:ascii="仿宋_GB2312" w:eastAsia="仿宋_GB2312" w:cs="华文仿宋" w:hAnsiTheme="majorEastAsia"/>
          <w:sz w:val="32"/>
          <w:szCs w:val="32"/>
        </w:rPr>
        <w:t>南大校发〔2023〕20号)</w:t>
      </w:r>
    </w:p>
    <w:p w14:paraId="2912E70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A8B8537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5535C0AC">
      <w:pPr>
        <w:spacing w:line="56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教务处</w:t>
      </w:r>
    </w:p>
    <w:p w14:paraId="0A2D6B1E">
      <w:pPr>
        <w:spacing w:line="560" w:lineRule="exact"/>
        <w:ind w:firstLine="5452" w:firstLineChars="17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4年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9日</w:t>
      </w:r>
    </w:p>
    <w:p w14:paraId="0B730F34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81B054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FEBA9AA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8"/>
        <w:tblW w:w="887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4" w:type="dxa"/>
          <w:bottom w:w="0" w:type="dxa"/>
          <w:right w:w="284" w:type="dxa"/>
        </w:tblCellMar>
      </w:tblPr>
      <w:tblGrid>
        <w:gridCol w:w="4436"/>
        <w:gridCol w:w="4436"/>
      </w:tblGrid>
      <w:tr w14:paraId="4FF700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43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2ED8A6C4">
            <w:pPr>
              <w:jc w:val="left"/>
              <w:rPr>
                <w:rFonts w:ascii="仿宋_GB2312" w:hAnsi="仿宋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zh-CN"/>
              </w:rPr>
              <w:t>南昌大学教务处</w:t>
            </w:r>
          </w:p>
        </w:tc>
        <w:tc>
          <w:tcPr>
            <w:tcW w:w="443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48827609">
            <w:pPr>
              <w:wordWrap w:val="0"/>
              <w:ind w:right="140"/>
              <w:jc w:val="right"/>
              <w:rPr>
                <w:rFonts w:ascii="仿宋_GB2312" w:hAnsi="仿宋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4年</w:t>
            </w:r>
            <w:r>
              <w:rPr>
                <w:rFonts w:ascii="仿宋_GB2312" w:eastAsia="仿宋_GB2312"/>
                <w:sz w:val="32"/>
                <w:szCs w:val="32"/>
              </w:rPr>
              <w:t>9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</w:rPr>
              <w:t>9日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zh-CN"/>
              </w:rPr>
              <w:t>印发</w:t>
            </w:r>
          </w:p>
        </w:tc>
      </w:tr>
    </w:tbl>
    <w:p w14:paraId="51C8CE54">
      <w:pPr>
        <w:spacing w:line="20" w:lineRule="exact"/>
        <w:jc w:val="left"/>
        <w:rPr>
          <w:rFonts w:ascii="仿宋_GB2312" w:eastAsia="仿宋_GB2312"/>
          <w:sz w:val="10"/>
          <w:szCs w:val="10"/>
        </w:rPr>
      </w:pPr>
    </w:p>
    <w:p w14:paraId="1FA058CA">
      <w:pPr>
        <w:spacing w:line="20" w:lineRule="exact"/>
        <w:jc w:val="left"/>
        <w:rPr>
          <w:rFonts w:ascii="仿宋_GB2312" w:eastAsia="仿宋_GB2312"/>
          <w:sz w:val="10"/>
          <w:szCs w:val="10"/>
        </w:rPr>
      </w:pPr>
    </w:p>
    <w:p w14:paraId="657B02EA">
      <w:pPr>
        <w:spacing w:line="20" w:lineRule="exact"/>
        <w:jc w:val="left"/>
        <w:rPr>
          <w:rFonts w:ascii="仿宋_GB2312" w:eastAsia="仿宋_GB2312"/>
          <w:sz w:val="10"/>
          <w:szCs w:val="10"/>
        </w:rPr>
      </w:pPr>
    </w:p>
    <w:p w14:paraId="3B2BBA6D">
      <w:pPr>
        <w:spacing w:line="20" w:lineRule="exact"/>
        <w:jc w:val="left"/>
        <w:rPr>
          <w:rFonts w:ascii="仿宋_GB2312" w:eastAsia="仿宋_GB2312"/>
          <w:sz w:val="10"/>
          <w:szCs w:val="10"/>
        </w:rPr>
      </w:pPr>
    </w:p>
    <w:p w14:paraId="179BC543">
      <w:pPr>
        <w:spacing w:line="20" w:lineRule="exact"/>
        <w:jc w:val="left"/>
        <w:rPr>
          <w:rFonts w:ascii="仿宋_GB2312" w:eastAsia="仿宋_GB2312"/>
          <w:sz w:val="10"/>
          <w:szCs w:val="10"/>
        </w:rPr>
      </w:pPr>
    </w:p>
    <w:sectPr>
      <w:footerReference r:id="rId3" w:type="default"/>
      <w:pgSz w:w="11906" w:h="16838"/>
      <w:pgMar w:top="1304" w:right="1797" w:bottom="1304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2DF80">
    <w:pPr>
      <w:pStyle w:val="5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5B415E">
                <w:pPr>
                  <w:pStyle w:val="5"/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</w:rPr>
                  <w:t>- 2 -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k0ZDU2YzFmOWQ3MGYwZGU1ODYxYjZlZGI4YTIyNDAifQ=="/>
  </w:docVars>
  <w:rsids>
    <w:rsidRoot w:val="0001468F"/>
    <w:rsid w:val="00004827"/>
    <w:rsid w:val="0001468F"/>
    <w:rsid w:val="0003469C"/>
    <w:rsid w:val="00037F43"/>
    <w:rsid w:val="000429C0"/>
    <w:rsid w:val="000471C6"/>
    <w:rsid w:val="00047901"/>
    <w:rsid w:val="00055CD4"/>
    <w:rsid w:val="00057EA3"/>
    <w:rsid w:val="000975E6"/>
    <w:rsid w:val="000A3851"/>
    <w:rsid w:val="000D10C7"/>
    <w:rsid w:val="000D51BE"/>
    <w:rsid w:val="000E35F0"/>
    <w:rsid w:val="000E5E41"/>
    <w:rsid w:val="000F5645"/>
    <w:rsid w:val="00122EC2"/>
    <w:rsid w:val="0012496F"/>
    <w:rsid w:val="00134ECC"/>
    <w:rsid w:val="00140729"/>
    <w:rsid w:val="00141000"/>
    <w:rsid w:val="00141FBF"/>
    <w:rsid w:val="00146AFE"/>
    <w:rsid w:val="001666E1"/>
    <w:rsid w:val="00167117"/>
    <w:rsid w:val="00167E93"/>
    <w:rsid w:val="00193143"/>
    <w:rsid w:val="001A1DF0"/>
    <w:rsid w:val="001A78BC"/>
    <w:rsid w:val="001C2E71"/>
    <w:rsid w:val="001D25A1"/>
    <w:rsid w:val="001E418E"/>
    <w:rsid w:val="002043DA"/>
    <w:rsid w:val="00236672"/>
    <w:rsid w:val="00241814"/>
    <w:rsid w:val="0026645E"/>
    <w:rsid w:val="00280498"/>
    <w:rsid w:val="0029328A"/>
    <w:rsid w:val="002A5797"/>
    <w:rsid w:val="002C1CE0"/>
    <w:rsid w:val="002C5A50"/>
    <w:rsid w:val="002F1382"/>
    <w:rsid w:val="002F3056"/>
    <w:rsid w:val="002F6D6E"/>
    <w:rsid w:val="00311F3E"/>
    <w:rsid w:val="00346932"/>
    <w:rsid w:val="0036062E"/>
    <w:rsid w:val="003751E7"/>
    <w:rsid w:val="00383B50"/>
    <w:rsid w:val="00390391"/>
    <w:rsid w:val="003A01E0"/>
    <w:rsid w:val="003A4B1A"/>
    <w:rsid w:val="003A5017"/>
    <w:rsid w:val="003E12BB"/>
    <w:rsid w:val="003E3F30"/>
    <w:rsid w:val="003F0FFD"/>
    <w:rsid w:val="003F280A"/>
    <w:rsid w:val="00415FCC"/>
    <w:rsid w:val="0041690C"/>
    <w:rsid w:val="004336DC"/>
    <w:rsid w:val="0043552D"/>
    <w:rsid w:val="00444B66"/>
    <w:rsid w:val="00444D6F"/>
    <w:rsid w:val="00446EF5"/>
    <w:rsid w:val="004552E6"/>
    <w:rsid w:val="00457B95"/>
    <w:rsid w:val="00476C24"/>
    <w:rsid w:val="00483194"/>
    <w:rsid w:val="004926E8"/>
    <w:rsid w:val="004B5590"/>
    <w:rsid w:val="004B5AC2"/>
    <w:rsid w:val="004C6560"/>
    <w:rsid w:val="004F0BA3"/>
    <w:rsid w:val="005002B2"/>
    <w:rsid w:val="00504A1B"/>
    <w:rsid w:val="00506866"/>
    <w:rsid w:val="00510342"/>
    <w:rsid w:val="0051793B"/>
    <w:rsid w:val="00521BB2"/>
    <w:rsid w:val="00542B6A"/>
    <w:rsid w:val="0055643F"/>
    <w:rsid w:val="005914B8"/>
    <w:rsid w:val="005A2241"/>
    <w:rsid w:val="005E29C5"/>
    <w:rsid w:val="006109BC"/>
    <w:rsid w:val="006117F4"/>
    <w:rsid w:val="00617237"/>
    <w:rsid w:val="00635D50"/>
    <w:rsid w:val="00640F93"/>
    <w:rsid w:val="00642CB8"/>
    <w:rsid w:val="00651BE4"/>
    <w:rsid w:val="006563A4"/>
    <w:rsid w:val="006654C0"/>
    <w:rsid w:val="00695C64"/>
    <w:rsid w:val="006C5EC8"/>
    <w:rsid w:val="006E5333"/>
    <w:rsid w:val="00706168"/>
    <w:rsid w:val="0071384F"/>
    <w:rsid w:val="00741291"/>
    <w:rsid w:val="007467FF"/>
    <w:rsid w:val="00760973"/>
    <w:rsid w:val="007612D3"/>
    <w:rsid w:val="0076706F"/>
    <w:rsid w:val="00770967"/>
    <w:rsid w:val="007760DF"/>
    <w:rsid w:val="00797CDD"/>
    <w:rsid w:val="007A3028"/>
    <w:rsid w:val="007C29F9"/>
    <w:rsid w:val="007C54E2"/>
    <w:rsid w:val="007C7915"/>
    <w:rsid w:val="007E3294"/>
    <w:rsid w:val="007F37B7"/>
    <w:rsid w:val="008040AE"/>
    <w:rsid w:val="008059E2"/>
    <w:rsid w:val="008076F5"/>
    <w:rsid w:val="00813668"/>
    <w:rsid w:val="00834339"/>
    <w:rsid w:val="00852C59"/>
    <w:rsid w:val="00856733"/>
    <w:rsid w:val="00864549"/>
    <w:rsid w:val="00867D7F"/>
    <w:rsid w:val="00887CEF"/>
    <w:rsid w:val="008A5CBA"/>
    <w:rsid w:val="008A5D7D"/>
    <w:rsid w:val="008B1656"/>
    <w:rsid w:val="008B55FD"/>
    <w:rsid w:val="008D2102"/>
    <w:rsid w:val="008E68E4"/>
    <w:rsid w:val="00907B80"/>
    <w:rsid w:val="00917DD6"/>
    <w:rsid w:val="00917FFA"/>
    <w:rsid w:val="00932C96"/>
    <w:rsid w:val="00936259"/>
    <w:rsid w:val="00940175"/>
    <w:rsid w:val="00941B3B"/>
    <w:rsid w:val="00946AD1"/>
    <w:rsid w:val="00953101"/>
    <w:rsid w:val="00954D58"/>
    <w:rsid w:val="00966A21"/>
    <w:rsid w:val="00967A45"/>
    <w:rsid w:val="009778BA"/>
    <w:rsid w:val="009927C9"/>
    <w:rsid w:val="009F1A5E"/>
    <w:rsid w:val="00A115BB"/>
    <w:rsid w:val="00A20E28"/>
    <w:rsid w:val="00A23DC3"/>
    <w:rsid w:val="00A27919"/>
    <w:rsid w:val="00A30F25"/>
    <w:rsid w:val="00A341B7"/>
    <w:rsid w:val="00A773C8"/>
    <w:rsid w:val="00AB1B5D"/>
    <w:rsid w:val="00AE166E"/>
    <w:rsid w:val="00AF2A2C"/>
    <w:rsid w:val="00AF609F"/>
    <w:rsid w:val="00AF7276"/>
    <w:rsid w:val="00B10AD6"/>
    <w:rsid w:val="00B11DBD"/>
    <w:rsid w:val="00B131A8"/>
    <w:rsid w:val="00B27987"/>
    <w:rsid w:val="00B33340"/>
    <w:rsid w:val="00B41254"/>
    <w:rsid w:val="00B7433D"/>
    <w:rsid w:val="00B77F8B"/>
    <w:rsid w:val="00B93EEC"/>
    <w:rsid w:val="00BA228D"/>
    <w:rsid w:val="00BA680E"/>
    <w:rsid w:val="00BB3E27"/>
    <w:rsid w:val="00BC0364"/>
    <w:rsid w:val="00BC18F8"/>
    <w:rsid w:val="00BD1F84"/>
    <w:rsid w:val="00BD4B19"/>
    <w:rsid w:val="00BE3254"/>
    <w:rsid w:val="00BF77E1"/>
    <w:rsid w:val="00C06365"/>
    <w:rsid w:val="00C2085A"/>
    <w:rsid w:val="00C21071"/>
    <w:rsid w:val="00C374BD"/>
    <w:rsid w:val="00C42FE1"/>
    <w:rsid w:val="00C70E60"/>
    <w:rsid w:val="00C77128"/>
    <w:rsid w:val="00C8157B"/>
    <w:rsid w:val="00C8176C"/>
    <w:rsid w:val="00C92CFB"/>
    <w:rsid w:val="00C96E11"/>
    <w:rsid w:val="00CA0B05"/>
    <w:rsid w:val="00CA22A0"/>
    <w:rsid w:val="00CA6041"/>
    <w:rsid w:val="00CB52C1"/>
    <w:rsid w:val="00CD1A05"/>
    <w:rsid w:val="00CE3FEB"/>
    <w:rsid w:val="00CE5525"/>
    <w:rsid w:val="00CE6D55"/>
    <w:rsid w:val="00CF3568"/>
    <w:rsid w:val="00D36FA7"/>
    <w:rsid w:val="00D45852"/>
    <w:rsid w:val="00D502A0"/>
    <w:rsid w:val="00DA5849"/>
    <w:rsid w:val="00DA6B60"/>
    <w:rsid w:val="00DB5A58"/>
    <w:rsid w:val="00DB63E4"/>
    <w:rsid w:val="00DE53BA"/>
    <w:rsid w:val="00E00BAF"/>
    <w:rsid w:val="00E11C69"/>
    <w:rsid w:val="00E2489E"/>
    <w:rsid w:val="00E2781B"/>
    <w:rsid w:val="00E44746"/>
    <w:rsid w:val="00E56170"/>
    <w:rsid w:val="00E6156A"/>
    <w:rsid w:val="00E622DE"/>
    <w:rsid w:val="00E6421E"/>
    <w:rsid w:val="00E6486E"/>
    <w:rsid w:val="00E842FB"/>
    <w:rsid w:val="00E859B7"/>
    <w:rsid w:val="00EA0AD3"/>
    <w:rsid w:val="00EA4B98"/>
    <w:rsid w:val="00EA611B"/>
    <w:rsid w:val="00EB00FE"/>
    <w:rsid w:val="00EC0173"/>
    <w:rsid w:val="00EC01FC"/>
    <w:rsid w:val="00EC0A54"/>
    <w:rsid w:val="00EC2EF0"/>
    <w:rsid w:val="00ED5A01"/>
    <w:rsid w:val="00EE01E6"/>
    <w:rsid w:val="00EE7FE2"/>
    <w:rsid w:val="00EF0136"/>
    <w:rsid w:val="00EF09EE"/>
    <w:rsid w:val="00EF1AAC"/>
    <w:rsid w:val="00EF20DF"/>
    <w:rsid w:val="00F03760"/>
    <w:rsid w:val="00F37307"/>
    <w:rsid w:val="00F406E5"/>
    <w:rsid w:val="00F5124F"/>
    <w:rsid w:val="00F663E0"/>
    <w:rsid w:val="00F81388"/>
    <w:rsid w:val="00F90035"/>
    <w:rsid w:val="00FA4E10"/>
    <w:rsid w:val="00FC60F9"/>
    <w:rsid w:val="00FD223E"/>
    <w:rsid w:val="00FD3F9D"/>
    <w:rsid w:val="00FE0D42"/>
    <w:rsid w:val="00FE34BA"/>
    <w:rsid w:val="00FE39EE"/>
    <w:rsid w:val="00FE4E4D"/>
    <w:rsid w:val="012A1BFD"/>
    <w:rsid w:val="01EC0334"/>
    <w:rsid w:val="02D220B8"/>
    <w:rsid w:val="03713D20"/>
    <w:rsid w:val="04F26A8C"/>
    <w:rsid w:val="076C1740"/>
    <w:rsid w:val="080358C7"/>
    <w:rsid w:val="085C60A9"/>
    <w:rsid w:val="087D7F38"/>
    <w:rsid w:val="0AF02364"/>
    <w:rsid w:val="0CE51C08"/>
    <w:rsid w:val="0D147B46"/>
    <w:rsid w:val="0D153031"/>
    <w:rsid w:val="0D21545B"/>
    <w:rsid w:val="0D827153"/>
    <w:rsid w:val="0E914692"/>
    <w:rsid w:val="114A107D"/>
    <w:rsid w:val="12357285"/>
    <w:rsid w:val="126C7D31"/>
    <w:rsid w:val="1A415C74"/>
    <w:rsid w:val="1AC367F2"/>
    <w:rsid w:val="1C102CF1"/>
    <w:rsid w:val="1F762FBF"/>
    <w:rsid w:val="20EE59D8"/>
    <w:rsid w:val="23C26779"/>
    <w:rsid w:val="254C4581"/>
    <w:rsid w:val="286D279B"/>
    <w:rsid w:val="2A4E0D63"/>
    <w:rsid w:val="2ACB0E3F"/>
    <w:rsid w:val="306110C0"/>
    <w:rsid w:val="310A5F86"/>
    <w:rsid w:val="33A2515F"/>
    <w:rsid w:val="34925068"/>
    <w:rsid w:val="35411379"/>
    <w:rsid w:val="37CA7D0C"/>
    <w:rsid w:val="39111E53"/>
    <w:rsid w:val="3C7C6E1A"/>
    <w:rsid w:val="3D2302B3"/>
    <w:rsid w:val="3D287D59"/>
    <w:rsid w:val="3D6E7288"/>
    <w:rsid w:val="3E295CBB"/>
    <w:rsid w:val="41270465"/>
    <w:rsid w:val="42997141"/>
    <w:rsid w:val="43EA120F"/>
    <w:rsid w:val="4412765F"/>
    <w:rsid w:val="4B1641C7"/>
    <w:rsid w:val="4F39188F"/>
    <w:rsid w:val="52FB1DA6"/>
    <w:rsid w:val="5C1843B4"/>
    <w:rsid w:val="5C595599"/>
    <w:rsid w:val="5DD3581C"/>
    <w:rsid w:val="5F9C50A2"/>
    <w:rsid w:val="64D37D61"/>
    <w:rsid w:val="660437E9"/>
    <w:rsid w:val="67336E0D"/>
    <w:rsid w:val="67F1313C"/>
    <w:rsid w:val="69577FA2"/>
    <w:rsid w:val="6AEE2617"/>
    <w:rsid w:val="6B431148"/>
    <w:rsid w:val="6C5E4D28"/>
    <w:rsid w:val="6CC41E10"/>
    <w:rsid w:val="6DB46DDC"/>
    <w:rsid w:val="6EDB0C3E"/>
    <w:rsid w:val="735A2BE1"/>
    <w:rsid w:val="75FD207B"/>
    <w:rsid w:val="7B994510"/>
    <w:rsid w:val="7BD7459A"/>
    <w:rsid w:val="7BF6605D"/>
    <w:rsid w:val="7DF02FF5"/>
    <w:rsid w:val="7E2C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</w:style>
  <w:style w:type="character" w:customStyle="1" w:styleId="16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2E093-A857-4F08-B1F6-45879906E6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1330</Words>
  <Characters>1385</Characters>
  <Lines>10</Lines>
  <Paragraphs>2</Paragraphs>
  <TotalTime>237</TotalTime>
  <ScaleCrop>false</ScaleCrop>
  <LinksUpToDate>false</LinksUpToDate>
  <CharactersWithSpaces>1405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2022-09-15T01:30:00Z</dcterms:created>
  <dc:creator>Administrator</dc:creator>
  <cp:lastModifiedBy>花花不加糖耶</cp:lastModifiedBy>
  <cp:lastPrinted>2024-09-18T01:46:00Z</cp:lastPrinted>
  <dcterms:modified xsi:type="dcterms:W3CDTF">2024-09-19T03:19:48Z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36F5FDDAE4884D8B93D08419A662298F</vt:lpwstr>
  </property>
</Properties>
</file>